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5E3BFC" w14:paraId="3C26E6CD" w14:textId="77777777" w:rsidTr="00491E67">
        <w:trPr>
          <w:trHeight w:val="737"/>
        </w:trPr>
        <w:tc>
          <w:tcPr>
            <w:tcW w:w="1250" w:type="pct"/>
            <w:shd w:val="clear" w:color="auto" w:fill="auto"/>
            <w:vAlign w:val="center"/>
          </w:tcPr>
          <w:p w14:paraId="5D7FB03F" w14:textId="77777777" w:rsidR="002D11B8" w:rsidRPr="005E3BFC" w:rsidRDefault="004728F8" w:rsidP="00491E67">
            <w:pPr>
              <w:widowControl w:val="0"/>
              <w:autoSpaceDE w:val="0"/>
              <w:autoSpaceDN w:val="0"/>
              <w:adjustRightInd w:val="0"/>
              <w:rPr>
                <w:rFonts w:ascii="Arial Narrow" w:hAnsi="Arial Narrow" w:cs="Calibri"/>
                <w:szCs w:val="20"/>
              </w:rPr>
            </w:pPr>
            <w:r w:rsidRPr="005E3BFC">
              <w:rPr>
                <w:rFonts w:ascii="Arial Narrow" w:hAnsi="Arial Narrow" w:cs="Calibri"/>
                <w:b/>
                <w:bCs/>
                <w:szCs w:val="20"/>
              </w:rPr>
              <w:t>DÉLÉGUÉS DES MINISTRES</w:t>
            </w:r>
          </w:p>
        </w:tc>
        <w:tc>
          <w:tcPr>
            <w:tcW w:w="1250" w:type="pct"/>
            <w:shd w:val="clear" w:color="auto" w:fill="auto"/>
            <w:vAlign w:val="center"/>
          </w:tcPr>
          <w:p w14:paraId="06995A59" w14:textId="77777777" w:rsidR="002D11B8" w:rsidRPr="005E3BFC" w:rsidRDefault="003D6AC2" w:rsidP="00491E67">
            <w:pPr>
              <w:ind w:left="-108"/>
              <w:jc w:val="center"/>
              <w:rPr>
                <w:rFonts w:ascii="Arial Narrow" w:hAnsi="Arial Narrow" w:cs="Arial"/>
                <w:szCs w:val="20"/>
              </w:rPr>
            </w:pPr>
            <w:r w:rsidRPr="005E3BFC">
              <w:rPr>
                <w:rFonts w:ascii="Arial Narrow" w:hAnsi="Arial Narrow" w:cs="Calibri"/>
                <w:szCs w:val="20"/>
              </w:rPr>
              <w:t>Documents</w:t>
            </w:r>
            <w:r w:rsidR="004728F8" w:rsidRPr="005E3BFC">
              <w:rPr>
                <w:rFonts w:ascii="Arial Narrow" w:hAnsi="Arial Narrow" w:cs="Calibri"/>
                <w:szCs w:val="20"/>
              </w:rPr>
              <w:t xml:space="preserve"> CM</w:t>
            </w:r>
          </w:p>
        </w:tc>
        <w:tc>
          <w:tcPr>
            <w:tcW w:w="1250" w:type="pct"/>
            <w:shd w:val="clear" w:color="auto" w:fill="auto"/>
            <w:vAlign w:val="center"/>
          </w:tcPr>
          <w:p w14:paraId="442BCCAB" w14:textId="7ED29ABF" w:rsidR="002D11B8" w:rsidRPr="0072436D" w:rsidRDefault="0072436D" w:rsidP="00491E67">
            <w:pPr>
              <w:ind w:left="-40"/>
              <w:jc w:val="center"/>
              <w:rPr>
                <w:rFonts w:ascii="Arial Narrow" w:hAnsi="Arial Narrow" w:cs="Arial"/>
                <w:b/>
                <w:sz w:val="24"/>
                <w:szCs w:val="24"/>
              </w:rPr>
            </w:pPr>
            <w:proofErr w:type="gramStart"/>
            <w:r w:rsidRPr="0072436D">
              <w:rPr>
                <w:rFonts w:ascii="Arial Narrow" w:hAnsi="Arial Narrow" w:cs="Calibri"/>
                <w:b/>
                <w:sz w:val="24"/>
                <w:szCs w:val="24"/>
              </w:rPr>
              <w:t>CM(</w:t>
            </w:r>
            <w:proofErr w:type="gramEnd"/>
            <w:r w:rsidRPr="0072436D">
              <w:rPr>
                <w:rFonts w:ascii="Arial Narrow" w:hAnsi="Arial Narrow" w:cs="Calibri"/>
                <w:b/>
                <w:sz w:val="24"/>
                <w:szCs w:val="24"/>
              </w:rPr>
              <w:t>2025)30</w:t>
            </w:r>
          </w:p>
        </w:tc>
        <w:tc>
          <w:tcPr>
            <w:tcW w:w="1250" w:type="pct"/>
            <w:shd w:val="clear" w:color="auto" w:fill="auto"/>
            <w:vAlign w:val="center"/>
          </w:tcPr>
          <w:p w14:paraId="5F5788C5" w14:textId="40FA6B37" w:rsidR="002D11B8" w:rsidRPr="005E3BFC" w:rsidRDefault="004E0ACB" w:rsidP="00491E67">
            <w:pPr>
              <w:jc w:val="right"/>
              <w:rPr>
                <w:rFonts w:ascii="Arial Narrow" w:hAnsi="Arial Narrow" w:cs="Arial"/>
                <w:sz w:val="16"/>
                <w:szCs w:val="16"/>
              </w:rPr>
            </w:pPr>
            <w:r>
              <w:rPr>
                <w:rFonts w:ascii="Arial Narrow" w:hAnsi="Arial Narrow" w:cs="Calibri"/>
                <w:sz w:val="16"/>
                <w:szCs w:val="16"/>
              </w:rPr>
              <w:t>13</w:t>
            </w:r>
            <w:r w:rsidR="00B26FBF">
              <w:rPr>
                <w:rFonts w:ascii="Arial Narrow" w:hAnsi="Arial Narrow" w:cs="Calibri"/>
                <w:sz w:val="16"/>
                <w:szCs w:val="16"/>
              </w:rPr>
              <w:t xml:space="preserve"> févr</w:t>
            </w:r>
            <w:r w:rsidR="006556B8">
              <w:rPr>
                <w:rFonts w:ascii="Arial Narrow" w:hAnsi="Arial Narrow" w:cs="Calibri"/>
                <w:sz w:val="16"/>
                <w:szCs w:val="16"/>
              </w:rPr>
              <w:t>ier</w:t>
            </w:r>
            <w:r w:rsidR="002D11B8" w:rsidRPr="005E3BFC">
              <w:rPr>
                <w:rFonts w:ascii="Arial Narrow" w:hAnsi="Arial Narrow" w:cs="Calibri"/>
                <w:sz w:val="16"/>
                <w:szCs w:val="16"/>
              </w:rPr>
              <w:t xml:space="preserve"> </w:t>
            </w:r>
            <w:r w:rsidR="008A7553" w:rsidRPr="005E3BFC">
              <w:rPr>
                <w:rFonts w:ascii="Arial Narrow" w:hAnsi="Arial Narrow" w:cs="Calibri"/>
                <w:sz w:val="16"/>
                <w:szCs w:val="16"/>
              </w:rPr>
              <w:t>202</w:t>
            </w:r>
            <w:r w:rsidR="00EE1745">
              <w:rPr>
                <w:rFonts w:ascii="Arial Narrow" w:hAnsi="Arial Narrow" w:cs="Calibri"/>
                <w:sz w:val="16"/>
                <w:szCs w:val="16"/>
              </w:rPr>
              <w:t>5</w:t>
            </w:r>
            <w:r w:rsidR="00853C90" w:rsidRPr="005E3BFC">
              <w:rPr>
                <w:rStyle w:val="FootnoteReference"/>
                <w:rFonts w:ascii="Arial Narrow" w:hAnsi="Arial Narrow" w:cs="Calibri"/>
                <w:sz w:val="16"/>
                <w:szCs w:val="16"/>
              </w:rPr>
              <w:footnoteReference w:id="1"/>
            </w:r>
          </w:p>
        </w:tc>
      </w:tr>
    </w:tbl>
    <w:p w14:paraId="3B711C44" w14:textId="77777777" w:rsidR="00D554E6" w:rsidRPr="005E3BFC"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5E3BFC" w14:paraId="373F0BB6" w14:textId="77777777" w:rsidTr="00491E67">
        <w:tc>
          <w:tcPr>
            <w:tcW w:w="9399" w:type="dxa"/>
            <w:shd w:val="clear" w:color="auto" w:fill="auto"/>
            <w:tcMar>
              <w:top w:w="227" w:type="dxa"/>
              <w:bottom w:w="227" w:type="dxa"/>
            </w:tcMar>
            <w:vAlign w:val="center"/>
          </w:tcPr>
          <w:p w14:paraId="53D60BC3" w14:textId="610942E8" w:rsidR="00086CA8" w:rsidRPr="00AD0EFC" w:rsidRDefault="0020158E" w:rsidP="00086CA8">
            <w:pPr>
              <w:widowControl w:val="0"/>
              <w:autoSpaceDE w:val="0"/>
              <w:autoSpaceDN w:val="0"/>
              <w:adjustRightInd w:val="0"/>
              <w:rPr>
                <w:rFonts w:ascii="Arial Narrow" w:hAnsi="Arial Narrow" w:cs="Calibri"/>
                <w:b/>
                <w:bCs/>
                <w:sz w:val="32"/>
                <w:szCs w:val="32"/>
              </w:rPr>
            </w:pPr>
            <w:r w:rsidRPr="0020158E">
              <w:rPr>
                <w:rFonts w:ascii="Arial Narrow" w:hAnsi="Arial Narrow" w:cs="Calibri"/>
                <w:b/>
                <w:bCs/>
                <w:sz w:val="32"/>
                <w:szCs w:val="32"/>
              </w:rPr>
              <w:t>1</w:t>
            </w:r>
            <w:r w:rsidR="000A2FF9">
              <w:rPr>
                <w:rFonts w:ascii="Arial Narrow" w:hAnsi="Arial Narrow" w:cs="Calibri"/>
                <w:b/>
                <w:bCs/>
                <w:sz w:val="32"/>
                <w:szCs w:val="32"/>
              </w:rPr>
              <w:t>52</w:t>
            </w:r>
            <w:r w:rsidR="00B26FBF">
              <w:rPr>
                <w:rFonts w:ascii="Arial Narrow" w:hAnsi="Arial Narrow" w:cs="Calibri"/>
                <w:b/>
                <w:bCs/>
                <w:sz w:val="32"/>
                <w:szCs w:val="32"/>
              </w:rPr>
              <w:t>4</w:t>
            </w:r>
            <w:r w:rsidRPr="0020158E">
              <w:rPr>
                <w:rFonts w:ascii="Arial Narrow" w:hAnsi="Arial Narrow" w:cs="Calibri"/>
                <w:b/>
                <w:bCs/>
                <w:sz w:val="32"/>
                <w:szCs w:val="32"/>
                <w:vertAlign w:val="superscript"/>
              </w:rPr>
              <w:t>e</w:t>
            </w:r>
            <w:r>
              <w:rPr>
                <w:rFonts w:ascii="Arial Narrow" w:hAnsi="Arial Narrow" w:cs="Calibri"/>
                <w:b/>
                <w:bCs/>
                <w:sz w:val="32"/>
                <w:szCs w:val="32"/>
              </w:rPr>
              <w:t xml:space="preserve"> </w:t>
            </w:r>
            <w:r w:rsidRPr="0020158E">
              <w:rPr>
                <w:rFonts w:ascii="Arial Narrow" w:hAnsi="Arial Narrow" w:cs="Calibri"/>
                <w:b/>
                <w:bCs/>
                <w:sz w:val="32"/>
                <w:szCs w:val="32"/>
              </w:rPr>
              <w:t xml:space="preserve">réunion, </w:t>
            </w:r>
            <w:r w:rsidR="00B26FBF">
              <w:rPr>
                <w:rFonts w:ascii="Arial Narrow" w:hAnsi="Arial Narrow" w:cs="Calibri"/>
                <w:b/>
                <w:bCs/>
                <w:sz w:val="32"/>
                <w:szCs w:val="32"/>
              </w:rPr>
              <w:t>1</w:t>
            </w:r>
            <w:r w:rsidR="00B26FBF" w:rsidRPr="00B26FBF">
              <w:rPr>
                <w:rFonts w:ascii="Arial Narrow" w:hAnsi="Arial Narrow" w:cs="Calibri"/>
                <w:b/>
                <w:bCs/>
                <w:sz w:val="32"/>
                <w:szCs w:val="32"/>
                <w:vertAlign w:val="superscript"/>
              </w:rPr>
              <w:t>er</w:t>
            </w:r>
            <w:r w:rsidR="00B26FBF">
              <w:rPr>
                <w:rFonts w:ascii="Arial Narrow" w:hAnsi="Arial Narrow" w:cs="Calibri"/>
                <w:b/>
                <w:bCs/>
                <w:sz w:val="32"/>
                <w:szCs w:val="32"/>
              </w:rPr>
              <w:t xml:space="preserve"> avril</w:t>
            </w:r>
            <w:r w:rsidR="00EE1745" w:rsidRPr="000A2FF9">
              <w:rPr>
                <w:rFonts w:ascii="Arial Narrow" w:hAnsi="Arial Narrow" w:cs="Calibri"/>
                <w:b/>
                <w:bCs/>
                <w:sz w:val="32"/>
                <w:szCs w:val="32"/>
              </w:rPr>
              <w:t xml:space="preserve"> </w:t>
            </w:r>
            <w:r w:rsidR="00086CA8" w:rsidRPr="000A2FF9">
              <w:rPr>
                <w:rFonts w:ascii="Arial Narrow" w:hAnsi="Arial Narrow" w:cs="Calibri"/>
                <w:b/>
                <w:bCs/>
                <w:sz w:val="32"/>
                <w:szCs w:val="32"/>
              </w:rPr>
              <w:t>202</w:t>
            </w:r>
            <w:r w:rsidR="00EE1745" w:rsidRPr="000A2FF9">
              <w:rPr>
                <w:rFonts w:ascii="Arial Narrow" w:hAnsi="Arial Narrow" w:cs="Calibri"/>
                <w:b/>
                <w:bCs/>
                <w:sz w:val="32"/>
                <w:szCs w:val="32"/>
              </w:rPr>
              <w:t>5</w:t>
            </w:r>
          </w:p>
          <w:p w14:paraId="49FB8417" w14:textId="77777777" w:rsidR="00E452EE" w:rsidRPr="005E3BFC" w:rsidRDefault="00E452EE" w:rsidP="00E452EE">
            <w:pPr>
              <w:rPr>
                <w:rFonts w:ascii="Arial Narrow" w:hAnsi="Arial Narrow" w:cs="Calibri"/>
                <w:sz w:val="22"/>
              </w:rPr>
            </w:pPr>
            <w:r w:rsidRPr="005E3BFC">
              <w:rPr>
                <w:rFonts w:ascii="Arial Narrow" w:hAnsi="Arial Narrow" w:cs="Calibri"/>
                <w:sz w:val="22"/>
              </w:rPr>
              <w:t>10 Questions juridiques</w:t>
            </w:r>
          </w:p>
          <w:p w14:paraId="1078724B" w14:textId="77777777" w:rsidR="0037200F" w:rsidRPr="005E3BFC" w:rsidRDefault="00CE6FD2" w:rsidP="00491E67">
            <w:pPr>
              <w:rPr>
                <w:rFonts w:ascii="Arial Narrow" w:hAnsi="Arial Narrow" w:cs="Calibri"/>
                <w:i/>
                <w:szCs w:val="20"/>
              </w:rPr>
            </w:pPr>
            <w:r w:rsidRPr="005E3BFC">
              <w:rPr>
                <w:rFonts w:ascii="Arial Narrow" w:hAnsi="Arial Narrow" w:cs="Calibri"/>
                <w:i/>
                <w:szCs w:val="20"/>
              </w:rPr>
              <w:t xml:space="preserve"> </w:t>
            </w:r>
          </w:p>
          <w:p w14:paraId="77C55207" w14:textId="75AFB601" w:rsidR="003D6AC2" w:rsidRPr="005E3BFC" w:rsidRDefault="003D6AC2" w:rsidP="00491E67">
            <w:pPr>
              <w:rPr>
                <w:rFonts w:ascii="Arial Narrow" w:hAnsi="Arial Narrow" w:cs="Calibri"/>
                <w:b/>
                <w:sz w:val="28"/>
                <w:szCs w:val="28"/>
              </w:rPr>
            </w:pPr>
            <w:r w:rsidRPr="005E3BFC">
              <w:rPr>
                <w:rFonts w:ascii="Arial Narrow" w:hAnsi="Arial Narrow" w:cs="Calibri"/>
                <w:b/>
                <w:sz w:val="28"/>
                <w:szCs w:val="28"/>
              </w:rPr>
              <w:t>1</w:t>
            </w:r>
            <w:r w:rsidR="00E452EE" w:rsidRPr="005E3BFC">
              <w:rPr>
                <w:rFonts w:ascii="Arial Narrow" w:hAnsi="Arial Narrow" w:cs="Calibri"/>
                <w:b/>
                <w:sz w:val="28"/>
                <w:szCs w:val="28"/>
              </w:rPr>
              <w:t>0.</w:t>
            </w:r>
            <w:r w:rsidR="00EA21DC">
              <w:rPr>
                <w:rFonts w:ascii="Arial Narrow" w:hAnsi="Arial Narrow" w:cs="Calibri"/>
                <w:b/>
                <w:sz w:val="28"/>
                <w:szCs w:val="28"/>
              </w:rPr>
              <w:t>1</w:t>
            </w:r>
            <w:r w:rsidR="00B26FBF">
              <w:rPr>
                <w:rFonts w:ascii="Arial Narrow" w:hAnsi="Arial Narrow" w:cs="Calibri"/>
                <w:b/>
                <w:sz w:val="28"/>
                <w:szCs w:val="28"/>
              </w:rPr>
              <w:t xml:space="preserve"> </w:t>
            </w:r>
            <w:r w:rsidR="00B26FBF" w:rsidRPr="00B26FBF">
              <w:rPr>
                <w:rFonts w:ascii="Arial Narrow" w:hAnsi="Arial Narrow" w:cs="Calibri"/>
                <w:b/>
                <w:sz w:val="28"/>
                <w:szCs w:val="28"/>
              </w:rPr>
              <w:t>Comité du Conseil de l’Europe de lutte contre le terrorisme</w:t>
            </w:r>
            <w:r w:rsidR="00C53638" w:rsidRPr="00C53638">
              <w:rPr>
                <w:rFonts w:ascii="Arial Narrow" w:hAnsi="Arial Narrow" w:cs="Calibri"/>
                <w:b/>
                <w:sz w:val="28"/>
                <w:szCs w:val="28"/>
              </w:rPr>
              <w:t xml:space="preserve"> (</w:t>
            </w:r>
            <w:r w:rsidR="00B26FBF" w:rsidRPr="00B26FBF">
              <w:rPr>
                <w:rFonts w:ascii="Arial Narrow" w:hAnsi="Arial Narrow" w:cs="Calibri"/>
                <w:b/>
                <w:sz w:val="28"/>
                <w:szCs w:val="28"/>
              </w:rPr>
              <w:t>CDCT</w:t>
            </w:r>
            <w:r w:rsidR="00C53638" w:rsidRPr="00C53638">
              <w:rPr>
                <w:rFonts w:ascii="Arial Narrow" w:hAnsi="Arial Narrow" w:cs="Calibri"/>
                <w:b/>
                <w:sz w:val="28"/>
                <w:szCs w:val="28"/>
              </w:rPr>
              <w:t>)</w:t>
            </w:r>
          </w:p>
          <w:p w14:paraId="68E261F5" w14:textId="0CCFDA10" w:rsidR="000A307B" w:rsidRDefault="00B26FBF" w:rsidP="00491E67">
            <w:pPr>
              <w:rPr>
                <w:rFonts w:ascii="Arial Narrow" w:hAnsi="Arial Narrow" w:cs="Calibri"/>
                <w:sz w:val="22"/>
              </w:rPr>
            </w:pPr>
            <w:r>
              <w:rPr>
                <w:rFonts w:ascii="Arial Narrow" w:hAnsi="Arial Narrow" w:cs="Calibri"/>
                <w:sz w:val="22"/>
              </w:rPr>
              <w:t xml:space="preserve">Projet de </w:t>
            </w:r>
            <w:r w:rsidRPr="00B26FBF">
              <w:rPr>
                <w:rFonts w:ascii="Arial Narrow" w:hAnsi="Arial Narrow" w:cs="Calibri"/>
                <w:sz w:val="22"/>
              </w:rPr>
              <w:t>Protocole d’amendement à la Convention du Conseil de l’Europe pour la prévention du terrorisme (STCE n° 196)</w:t>
            </w:r>
          </w:p>
          <w:p w14:paraId="65C29DF3" w14:textId="77777777" w:rsidR="00C53638" w:rsidRPr="005E3BFC" w:rsidRDefault="00C53638" w:rsidP="00491E67">
            <w:pPr>
              <w:rPr>
                <w:rFonts w:ascii="Arial Narrow" w:hAnsi="Arial Narrow" w:cs="Calibri"/>
                <w:sz w:val="22"/>
              </w:rPr>
            </w:pPr>
          </w:p>
          <w:p w14:paraId="4FD4F16F" w14:textId="726B4567" w:rsidR="000A307B" w:rsidRPr="005E3BFC" w:rsidRDefault="004D1C0F" w:rsidP="00491E67">
            <w:pPr>
              <w:rPr>
                <w:rFonts w:ascii="Arial Narrow" w:hAnsi="Arial Narrow" w:cs="Calibri"/>
                <w:b/>
                <w:szCs w:val="20"/>
              </w:rPr>
            </w:pPr>
            <w:r w:rsidRPr="005E3BFC">
              <w:rPr>
                <w:rFonts w:ascii="Arial Narrow" w:hAnsi="Arial Narrow" w:cs="Calibri"/>
                <w:b/>
                <w:szCs w:val="20"/>
              </w:rPr>
              <w:t>P</w:t>
            </w:r>
            <w:r w:rsidR="003E3542">
              <w:rPr>
                <w:rFonts w:ascii="Arial Narrow" w:hAnsi="Arial Narrow" w:cs="Calibri"/>
                <w:b/>
                <w:szCs w:val="20"/>
              </w:rPr>
              <w:t>oint p</w:t>
            </w:r>
            <w:r w:rsidRPr="005E3BFC">
              <w:rPr>
                <w:rFonts w:ascii="Arial Narrow" w:hAnsi="Arial Narrow" w:cs="Calibri"/>
                <w:b/>
                <w:szCs w:val="20"/>
              </w:rPr>
              <w:t>our examen par le GR-</w:t>
            </w:r>
            <w:r w:rsidR="00E452EE" w:rsidRPr="005E3BFC">
              <w:rPr>
                <w:rFonts w:ascii="Arial Narrow" w:hAnsi="Arial Narrow" w:cs="Calibri"/>
                <w:b/>
                <w:szCs w:val="20"/>
              </w:rPr>
              <w:t>J</w:t>
            </w:r>
            <w:r w:rsidRPr="005E3BFC">
              <w:rPr>
                <w:rFonts w:ascii="Arial Narrow" w:hAnsi="Arial Narrow" w:cs="Calibri"/>
                <w:b/>
                <w:szCs w:val="20"/>
              </w:rPr>
              <w:t xml:space="preserve"> lors de sa réunion du </w:t>
            </w:r>
            <w:r w:rsidR="00EE1745" w:rsidRPr="000A2FF9">
              <w:rPr>
                <w:rFonts w:ascii="Arial Narrow" w:hAnsi="Arial Narrow" w:cs="Calibri"/>
                <w:b/>
                <w:bCs/>
                <w:szCs w:val="20"/>
              </w:rPr>
              <w:t>11 </w:t>
            </w:r>
            <w:r w:rsidR="00B26FBF">
              <w:rPr>
                <w:rFonts w:ascii="Arial Narrow" w:hAnsi="Arial Narrow" w:cs="Calibri"/>
                <w:b/>
                <w:bCs/>
                <w:szCs w:val="20"/>
              </w:rPr>
              <w:t xml:space="preserve">mars </w:t>
            </w:r>
            <w:r w:rsidR="00EE1745" w:rsidRPr="000A2FF9">
              <w:rPr>
                <w:rFonts w:ascii="Arial Narrow" w:hAnsi="Arial Narrow" w:cs="Calibri"/>
                <w:b/>
                <w:bCs/>
                <w:szCs w:val="20"/>
              </w:rPr>
              <w:t>2025</w:t>
            </w:r>
          </w:p>
        </w:tc>
      </w:tr>
    </w:tbl>
    <w:p w14:paraId="1EA28E34" w14:textId="77777777" w:rsidR="00B176D7" w:rsidRDefault="00B176D7" w:rsidP="00605CB8">
      <w:pPr>
        <w:rPr>
          <w:rFonts w:eastAsia="Times New Roman"/>
          <w:szCs w:val="24"/>
        </w:rPr>
      </w:pPr>
    </w:p>
    <w:p w14:paraId="1BBB7090" w14:textId="77777777" w:rsidR="00A0016A" w:rsidRPr="00A0016A" w:rsidRDefault="00A0016A" w:rsidP="00A0016A">
      <w:pPr>
        <w:pStyle w:val="Default"/>
        <w:rPr>
          <w:b/>
          <w:bCs/>
          <w:color w:val="auto"/>
          <w:sz w:val="20"/>
          <w:szCs w:val="20"/>
        </w:rPr>
      </w:pPr>
    </w:p>
    <w:p w14:paraId="701659D5" w14:textId="4C1D510E" w:rsidR="00B26FBF" w:rsidRPr="00A0016A" w:rsidRDefault="00B26FBF" w:rsidP="00A0016A">
      <w:pPr>
        <w:pStyle w:val="Default"/>
        <w:rPr>
          <w:b/>
          <w:bCs/>
          <w:color w:val="auto"/>
          <w:sz w:val="20"/>
          <w:szCs w:val="20"/>
        </w:rPr>
      </w:pPr>
      <w:r w:rsidRPr="00A0016A">
        <w:rPr>
          <w:b/>
          <w:bCs/>
          <w:color w:val="auto"/>
          <w:sz w:val="20"/>
          <w:szCs w:val="20"/>
        </w:rPr>
        <w:t>Préambule</w:t>
      </w:r>
    </w:p>
    <w:p w14:paraId="248138DE" w14:textId="77777777" w:rsidR="00B26FBF" w:rsidRPr="00A0016A" w:rsidRDefault="00B26FBF" w:rsidP="00A0016A">
      <w:pPr>
        <w:pStyle w:val="Default"/>
        <w:rPr>
          <w:b/>
          <w:bCs/>
          <w:color w:val="0070C0"/>
          <w:sz w:val="20"/>
          <w:szCs w:val="20"/>
        </w:rPr>
      </w:pPr>
    </w:p>
    <w:p w14:paraId="0C6F5320" w14:textId="77777777" w:rsidR="00B26FBF" w:rsidRPr="00A0016A" w:rsidRDefault="00B26FBF" w:rsidP="00A0016A">
      <w:pPr>
        <w:pStyle w:val="Default"/>
        <w:rPr>
          <w:color w:val="auto"/>
          <w:sz w:val="20"/>
          <w:szCs w:val="20"/>
        </w:rPr>
      </w:pPr>
      <w:r w:rsidRPr="00A0016A">
        <w:rPr>
          <w:color w:val="auto"/>
          <w:sz w:val="20"/>
          <w:szCs w:val="20"/>
        </w:rPr>
        <w:t xml:space="preserve">Les États membres du Conseil de l’Europe et les autres Parties à la Convention du Conseil de l’Europe pour la prévention du terrorisme (STCE n° 196, ci-après dénommée «la </w:t>
      </w:r>
      <w:proofErr w:type="gramStart"/>
      <w:r w:rsidRPr="00A0016A">
        <w:rPr>
          <w:color w:val="auto"/>
          <w:sz w:val="20"/>
          <w:szCs w:val="20"/>
        </w:rPr>
        <w:t>Convention»</w:t>
      </w:r>
      <w:proofErr w:type="gramEnd"/>
      <w:r w:rsidRPr="00A0016A">
        <w:rPr>
          <w:color w:val="auto"/>
          <w:sz w:val="20"/>
          <w:szCs w:val="20"/>
        </w:rPr>
        <w:t>), signataires du présent Protocole,</w:t>
      </w:r>
    </w:p>
    <w:p w14:paraId="25D4A820" w14:textId="77777777" w:rsidR="00B26FBF" w:rsidRPr="00A0016A" w:rsidRDefault="00B26FBF" w:rsidP="00A0016A">
      <w:pPr>
        <w:pStyle w:val="Default"/>
        <w:rPr>
          <w:color w:val="auto"/>
          <w:sz w:val="20"/>
          <w:szCs w:val="20"/>
        </w:rPr>
      </w:pPr>
    </w:p>
    <w:p w14:paraId="6A42A1A0" w14:textId="77777777" w:rsidR="00B26FBF" w:rsidRPr="00A0016A" w:rsidRDefault="00B26FBF" w:rsidP="00A0016A">
      <w:pPr>
        <w:pStyle w:val="Default"/>
        <w:rPr>
          <w:color w:val="auto"/>
          <w:sz w:val="20"/>
          <w:szCs w:val="20"/>
        </w:rPr>
      </w:pPr>
      <w:r w:rsidRPr="00A0016A">
        <w:rPr>
          <w:color w:val="auto"/>
          <w:sz w:val="20"/>
          <w:szCs w:val="20"/>
        </w:rPr>
        <w:t xml:space="preserve">Considérant que le but du Conseil de l’Europe est de réaliser une union plus étroite entre ses </w:t>
      </w:r>
      <w:proofErr w:type="gramStart"/>
      <w:r w:rsidRPr="00A0016A">
        <w:rPr>
          <w:color w:val="auto"/>
          <w:sz w:val="20"/>
          <w:szCs w:val="20"/>
        </w:rPr>
        <w:t>membres;</w:t>
      </w:r>
      <w:proofErr w:type="gramEnd"/>
    </w:p>
    <w:p w14:paraId="193F5457" w14:textId="77777777" w:rsidR="00B26FBF" w:rsidRPr="00A0016A" w:rsidRDefault="00B26FBF" w:rsidP="00A0016A">
      <w:pPr>
        <w:pStyle w:val="Default"/>
        <w:rPr>
          <w:color w:val="auto"/>
          <w:sz w:val="20"/>
          <w:szCs w:val="20"/>
        </w:rPr>
      </w:pPr>
    </w:p>
    <w:p w14:paraId="2D933F96" w14:textId="77777777" w:rsidR="00B26FBF" w:rsidRPr="00A0016A" w:rsidRDefault="00B26FBF" w:rsidP="00A0016A">
      <w:pPr>
        <w:pStyle w:val="Default"/>
        <w:rPr>
          <w:color w:val="auto"/>
          <w:sz w:val="20"/>
          <w:szCs w:val="20"/>
        </w:rPr>
      </w:pPr>
      <w:r w:rsidRPr="00A0016A">
        <w:rPr>
          <w:color w:val="auto"/>
          <w:sz w:val="20"/>
          <w:szCs w:val="20"/>
        </w:rPr>
        <w:t xml:space="preserve">Rappelant la nécessité de renforcer la lutte contre le terrorisme sous toutes ses formes, en Europe </w:t>
      </w:r>
      <w:bookmarkStart w:id="0" w:name="_Hlk167798845"/>
      <w:r w:rsidRPr="00A0016A">
        <w:rPr>
          <w:color w:val="auto"/>
          <w:sz w:val="20"/>
          <w:szCs w:val="20"/>
        </w:rPr>
        <w:t>et au niveau mondial</w:t>
      </w:r>
      <w:bookmarkEnd w:id="0"/>
      <w:r w:rsidRPr="00A0016A">
        <w:rPr>
          <w:color w:val="auto"/>
          <w:sz w:val="20"/>
          <w:szCs w:val="20"/>
        </w:rPr>
        <w:t xml:space="preserve">, et reconnaissant </w:t>
      </w:r>
      <w:bookmarkStart w:id="1" w:name="_Hlk167798883"/>
      <w:r w:rsidRPr="00A0016A">
        <w:rPr>
          <w:color w:val="auto"/>
          <w:sz w:val="20"/>
          <w:szCs w:val="20"/>
        </w:rPr>
        <w:t xml:space="preserve">l’importance de renforcer </w:t>
      </w:r>
      <w:bookmarkEnd w:id="1"/>
      <w:r w:rsidRPr="00A0016A">
        <w:rPr>
          <w:color w:val="auto"/>
          <w:sz w:val="20"/>
          <w:szCs w:val="20"/>
        </w:rPr>
        <w:t xml:space="preserve">la coopération dans le domaine de la lutte contre le terrorisme avec les autres Parties à la </w:t>
      </w:r>
      <w:proofErr w:type="gramStart"/>
      <w:r w:rsidRPr="00A0016A">
        <w:rPr>
          <w:color w:val="auto"/>
          <w:sz w:val="20"/>
          <w:szCs w:val="20"/>
        </w:rPr>
        <w:t>Convention;</w:t>
      </w:r>
      <w:proofErr w:type="gramEnd"/>
    </w:p>
    <w:p w14:paraId="04FB16E4" w14:textId="77777777" w:rsidR="00B26FBF" w:rsidRPr="00A0016A" w:rsidRDefault="00B26FBF" w:rsidP="00A0016A">
      <w:pPr>
        <w:pStyle w:val="Default"/>
        <w:rPr>
          <w:color w:val="FF0000"/>
          <w:sz w:val="20"/>
          <w:szCs w:val="20"/>
        </w:rPr>
      </w:pPr>
    </w:p>
    <w:p w14:paraId="2FA9E18D" w14:textId="77777777" w:rsidR="00B26FBF" w:rsidRPr="00A0016A" w:rsidRDefault="00B26FBF" w:rsidP="00A0016A">
      <w:pPr>
        <w:pStyle w:val="Default"/>
        <w:rPr>
          <w:color w:val="FF0000"/>
          <w:sz w:val="20"/>
          <w:szCs w:val="20"/>
        </w:rPr>
      </w:pPr>
      <w:r w:rsidRPr="00A0016A">
        <w:rPr>
          <w:color w:val="auto"/>
          <w:sz w:val="20"/>
          <w:szCs w:val="20"/>
        </w:rPr>
        <w:t xml:space="preserve">Reconnaissant que les infractions terroristes ainsi que celles prévues par la Convention et le présent Protocole, quels que soient leurs auteurs, ne sont en aucun cas justifiables par des considérations de nature politique, philosophique, idéologique, raciale, ethnique, religieuse ou </w:t>
      </w:r>
      <w:proofErr w:type="gramStart"/>
      <w:r w:rsidRPr="00A0016A">
        <w:rPr>
          <w:color w:val="auto"/>
          <w:sz w:val="20"/>
          <w:szCs w:val="20"/>
        </w:rPr>
        <w:t>autre;</w:t>
      </w:r>
      <w:proofErr w:type="gramEnd"/>
    </w:p>
    <w:p w14:paraId="233EA4F5" w14:textId="77777777" w:rsidR="00B26FBF" w:rsidRPr="00A0016A" w:rsidRDefault="00B26FBF" w:rsidP="00A0016A">
      <w:pPr>
        <w:pStyle w:val="Default"/>
        <w:rPr>
          <w:color w:val="auto"/>
          <w:sz w:val="20"/>
          <w:szCs w:val="20"/>
        </w:rPr>
      </w:pPr>
    </w:p>
    <w:p w14:paraId="354B1077" w14:textId="77777777" w:rsidR="00B26FBF" w:rsidRPr="00A0016A" w:rsidRDefault="00B26FBF" w:rsidP="00A0016A">
      <w:pPr>
        <w:pStyle w:val="Default"/>
        <w:rPr>
          <w:color w:val="auto"/>
          <w:sz w:val="20"/>
          <w:szCs w:val="20"/>
        </w:rPr>
      </w:pPr>
      <w:r w:rsidRPr="00A0016A">
        <w:rPr>
          <w:color w:val="auto"/>
          <w:sz w:val="20"/>
          <w:szCs w:val="20"/>
        </w:rPr>
        <w:t xml:space="preserve">Réaffirmant que toutes les mesures prises pour prévenir ou réprimer les infractions terroristes dans le cadre du présent Protocole doivent être conformes aux droits de l’homme et aux libertés fondamentales pertinents, en particulier ceux consacrés par la Convention </w:t>
      </w:r>
      <w:r w:rsidRPr="00A0016A">
        <w:rPr>
          <w:color w:val="auto"/>
          <w:sz w:val="20"/>
          <w:szCs w:val="20"/>
          <w:shd w:val="clear" w:color="auto" w:fill="FFFFFF"/>
        </w:rPr>
        <w:t>de sauvegarde des droits de l’homme et libertés fondamentales</w:t>
      </w:r>
      <w:r w:rsidRPr="00A0016A">
        <w:rPr>
          <w:color w:val="auto"/>
          <w:sz w:val="20"/>
          <w:szCs w:val="20"/>
        </w:rPr>
        <w:t xml:space="preserve"> (STE n° 5), ainsi qu’aux autres obligations découlant du droit international, y compris, le cas échéant, du droit international </w:t>
      </w:r>
      <w:proofErr w:type="gramStart"/>
      <w:r w:rsidRPr="00A0016A">
        <w:rPr>
          <w:color w:val="auto"/>
          <w:sz w:val="20"/>
          <w:szCs w:val="20"/>
        </w:rPr>
        <w:t>humanitaire;</w:t>
      </w:r>
      <w:proofErr w:type="gramEnd"/>
    </w:p>
    <w:p w14:paraId="1BC36752" w14:textId="77777777" w:rsidR="00B26FBF" w:rsidRPr="00A0016A" w:rsidRDefault="00B26FBF" w:rsidP="00A0016A">
      <w:pPr>
        <w:pStyle w:val="Default"/>
        <w:rPr>
          <w:color w:val="FF0000"/>
          <w:sz w:val="20"/>
          <w:szCs w:val="20"/>
        </w:rPr>
      </w:pPr>
    </w:p>
    <w:p w14:paraId="325F7035" w14:textId="77777777" w:rsidR="00B26FBF" w:rsidRPr="00A0016A" w:rsidRDefault="00B26FBF" w:rsidP="00A0016A">
      <w:pPr>
        <w:pStyle w:val="Default"/>
        <w:rPr>
          <w:color w:val="auto"/>
          <w:sz w:val="20"/>
          <w:szCs w:val="20"/>
        </w:rPr>
      </w:pPr>
      <w:r w:rsidRPr="00A0016A">
        <w:rPr>
          <w:color w:val="auto"/>
          <w:sz w:val="20"/>
          <w:szCs w:val="20"/>
        </w:rPr>
        <w:t xml:space="preserve">Considérant que de nouveaux défis en matière de lutte contre le terrorisme ont </w:t>
      </w:r>
      <w:bookmarkStart w:id="2" w:name="_Hlk167799432"/>
      <w:r w:rsidRPr="00A0016A">
        <w:rPr>
          <w:color w:val="auto"/>
          <w:sz w:val="20"/>
          <w:szCs w:val="20"/>
        </w:rPr>
        <w:t xml:space="preserve">émergé </w:t>
      </w:r>
      <w:bookmarkEnd w:id="2"/>
      <w:r w:rsidRPr="00A0016A">
        <w:rPr>
          <w:color w:val="auto"/>
          <w:sz w:val="20"/>
          <w:szCs w:val="20"/>
        </w:rPr>
        <w:t xml:space="preserve">depuis l’adoption de la Convention et de son Protocole additionnel (STCE n° 217), notamment liés au fait que de nombreux terroristes ont modifié leur </w:t>
      </w:r>
      <w:r w:rsidRPr="00A0016A">
        <w:rPr>
          <w:i/>
          <w:iCs/>
          <w:color w:val="auto"/>
          <w:sz w:val="20"/>
          <w:szCs w:val="20"/>
        </w:rPr>
        <w:t>modus operandi</w:t>
      </w:r>
      <w:r w:rsidRPr="00A0016A">
        <w:rPr>
          <w:color w:val="auto"/>
          <w:sz w:val="20"/>
          <w:szCs w:val="20"/>
        </w:rPr>
        <w:t xml:space="preserve"> en commettant des actes criminels à des fins terroristes allant au-delà de ceux inclus dans les traités antiterroristes figurant dans l’annexe à la </w:t>
      </w:r>
      <w:proofErr w:type="gramStart"/>
      <w:r w:rsidRPr="00A0016A">
        <w:rPr>
          <w:color w:val="auto"/>
          <w:sz w:val="20"/>
          <w:szCs w:val="20"/>
        </w:rPr>
        <w:t>Convention;</w:t>
      </w:r>
      <w:proofErr w:type="gramEnd"/>
    </w:p>
    <w:p w14:paraId="12607CAB" w14:textId="77777777" w:rsidR="00B26FBF" w:rsidRPr="00A0016A" w:rsidRDefault="00B26FBF" w:rsidP="00A0016A">
      <w:pPr>
        <w:pStyle w:val="Default"/>
        <w:rPr>
          <w:color w:val="auto"/>
          <w:sz w:val="20"/>
          <w:szCs w:val="20"/>
        </w:rPr>
      </w:pPr>
    </w:p>
    <w:p w14:paraId="1A9B76AD" w14:textId="77777777" w:rsidR="00B26FBF" w:rsidRPr="00A0016A" w:rsidRDefault="00B26FBF" w:rsidP="00A0016A">
      <w:pPr>
        <w:pStyle w:val="Default"/>
        <w:rPr>
          <w:color w:val="auto"/>
          <w:sz w:val="20"/>
          <w:szCs w:val="20"/>
        </w:rPr>
      </w:pPr>
      <w:r w:rsidRPr="00A0016A">
        <w:rPr>
          <w:color w:val="auto"/>
          <w:sz w:val="20"/>
          <w:szCs w:val="20"/>
        </w:rPr>
        <w:t>Considérant la nécessité d’adopter une définition juridique des infractions terroristes plus large et plus appropriée afin de relever les défis actuels et futurs de la lutte contre le terrorisme,</w:t>
      </w:r>
    </w:p>
    <w:p w14:paraId="59249A6C" w14:textId="77777777" w:rsidR="00B26FBF" w:rsidRPr="00A0016A" w:rsidRDefault="00B26FBF" w:rsidP="00A0016A">
      <w:pPr>
        <w:pStyle w:val="Default"/>
        <w:rPr>
          <w:color w:val="auto"/>
          <w:sz w:val="20"/>
          <w:szCs w:val="20"/>
        </w:rPr>
      </w:pPr>
    </w:p>
    <w:p w14:paraId="6C44F753" w14:textId="77777777" w:rsidR="00B26FBF" w:rsidRPr="00A0016A" w:rsidRDefault="00B26FBF" w:rsidP="00A0016A">
      <w:pPr>
        <w:pStyle w:val="Default"/>
        <w:rPr>
          <w:color w:val="auto"/>
          <w:sz w:val="20"/>
          <w:szCs w:val="20"/>
        </w:rPr>
      </w:pPr>
      <w:r w:rsidRPr="00A0016A">
        <w:rPr>
          <w:color w:val="auto"/>
          <w:sz w:val="20"/>
          <w:szCs w:val="20"/>
        </w:rPr>
        <w:t xml:space="preserve">Sont convenus de ce qui </w:t>
      </w:r>
      <w:proofErr w:type="gramStart"/>
      <w:r w:rsidRPr="00A0016A">
        <w:rPr>
          <w:color w:val="auto"/>
          <w:sz w:val="20"/>
          <w:szCs w:val="20"/>
        </w:rPr>
        <w:t>suit:</w:t>
      </w:r>
      <w:proofErr w:type="gramEnd"/>
    </w:p>
    <w:p w14:paraId="2CD1200B" w14:textId="77777777" w:rsidR="00B26FBF" w:rsidRPr="00A0016A" w:rsidRDefault="00B26FBF" w:rsidP="00A0016A">
      <w:pPr>
        <w:pStyle w:val="Default"/>
        <w:rPr>
          <w:color w:val="auto"/>
          <w:sz w:val="20"/>
          <w:szCs w:val="20"/>
        </w:rPr>
      </w:pPr>
    </w:p>
    <w:p w14:paraId="6DC70742" w14:textId="77777777" w:rsidR="00B26FBF" w:rsidRDefault="00B26FBF" w:rsidP="00A0016A">
      <w:pPr>
        <w:pStyle w:val="Default"/>
        <w:rPr>
          <w:b/>
          <w:bCs/>
          <w:color w:val="auto"/>
          <w:sz w:val="20"/>
          <w:szCs w:val="20"/>
        </w:rPr>
      </w:pPr>
      <w:r w:rsidRPr="00A0016A">
        <w:rPr>
          <w:b/>
          <w:bCs/>
          <w:color w:val="auto"/>
          <w:sz w:val="20"/>
          <w:szCs w:val="20"/>
        </w:rPr>
        <w:t>Article 1 – Définitions</w:t>
      </w:r>
    </w:p>
    <w:p w14:paraId="6712C114" w14:textId="77777777" w:rsidR="00A0016A" w:rsidRPr="00A0016A" w:rsidRDefault="00A0016A" w:rsidP="00A0016A">
      <w:pPr>
        <w:pStyle w:val="Default"/>
        <w:rPr>
          <w:b/>
          <w:bCs/>
          <w:color w:val="auto"/>
          <w:sz w:val="20"/>
          <w:szCs w:val="20"/>
        </w:rPr>
      </w:pPr>
    </w:p>
    <w:p w14:paraId="076E50D6" w14:textId="77777777" w:rsidR="00B26FBF" w:rsidRDefault="00B26FBF" w:rsidP="00A0016A">
      <w:pPr>
        <w:pStyle w:val="Default"/>
        <w:rPr>
          <w:color w:val="auto"/>
          <w:sz w:val="20"/>
          <w:szCs w:val="20"/>
        </w:rPr>
      </w:pPr>
      <w:r w:rsidRPr="00A0016A">
        <w:rPr>
          <w:color w:val="auto"/>
          <w:sz w:val="20"/>
          <w:szCs w:val="20"/>
        </w:rPr>
        <w:t xml:space="preserve">Le texte de l’article 1 de la Convention est remplacé par le texte </w:t>
      </w:r>
      <w:proofErr w:type="gramStart"/>
      <w:r w:rsidRPr="00A0016A">
        <w:rPr>
          <w:color w:val="auto"/>
          <w:sz w:val="20"/>
          <w:szCs w:val="20"/>
        </w:rPr>
        <w:t>suivant:</w:t>
      </w:r>
      <w:proofErr w:type="gramEnd"/>
    </w:p>
    <w:p w14:paraId="56843D0E" w14:textId="77777777" w:rsidR="00A0016A" w:rsidRPr="00A0016A" w:rsidRDefault="00A0016A" w:rsidP="00A0016A">
      <w:pPr>
        <w:pStyle w:val="Default"/>
        <w:rPr>
          <w:b/>
          <w:bCs/>
          <w:color w:val="auto"/>
          <w:sz w:val="20"/>
          <w:szCs w:val="20"/>
        </w:rPr>
      </w:pPr>
    </w:p>
    <w:p w14:paraId="17910804" w14:textId="77D529F1" w:rsidR="00B26FBF" w:rsidRPr="00A0016A" w:rsidRDefault="00B26FBF" w:rsidP="00A0016A">
      <w:pPr>
        <w:pStyle w:val="Default"/>
        <w:tabs>
          <w:tab w:val="left" w:pos="1022"/>
        </w:tabs>
        <w:ind w:left="709"/>
        <w:rPr>
          <w:color w:val="auto"/>
          <w:sz w:val="20"/>
          <w:szCs w:val="20"/>
        </w:rPr>
      </w:pPr>
      <w:r w:rsidRPr="00A0016A">
        <w:rPr>
          <w:color w:val="auto"/>
          <w:sz w:val="20"/>
          <w:szCs w:val="20"/>
        </w:rPr>
        <w:t>«</w:t>
      </w:r>
      <w:bookmarkStart w:id="3" w:name="_Hlk167799697"/>
      <w:r w:rsidR="00A0016A">
        <w:rPr>
          <w:color w:val="auto"/>
          <w:sz w:val="20"/>
          <w:szCs w:val="20"/>
        </w:rPr>
        <w:t>1</w:t>
      </w:r>
      <w:r w:rsidR="00A0016A" w:rsidRPr="00A0016A">
        <w:rPr>
          <w:color w:val="auto"/>
          <w:sz w:val="20"/>
          <w:szCs w:val="20"/>
        </w:rPr>
        <w:t>.</w:t>
      </w:r>
      <w:r w:rsidR="00A0016A" w:rsidRPr="00A0016A">
        <w:rPr>
          <w:color w:val="auto"/>
          <w:sz w:val="20"/>
          <w:szCs w:val="20"/>
        </w:rPr>
        <w:tab/>
      </w:r>
      <w:r w:rsidRPr="00A0016A">
        <w:rPr>
          <w:sz w:val="20"/>
          <w:szCs w:val="20"/>
        </w:rPr>
        <w:t>Aux fins de la présente Convention, on entend par</w:t>
      </w:r>
      <w:proofErr w:type="gramStart"/>
      <w:r w:rsidRPr="00A0016A">
        <w:rPr>
          <w:sz w:val="20"/>
          <w:szCs w:val="20"/>
        </w:rPr>
        <w:t xml:space="preserve"> «infraction</w:t>
      </w:r>
      <w:proofErr w:type="gramEnd"/>
      <w:r w:rsidRPr="00A0016A">
        <w:rPr>
          <w:sz w:val="20"/>
          <w:szCs w:val="20"/>
        </w:rPr>
        <w:t xml:space="preserve"> terroriste»:</w:t>
      </w:r>
    </w:p>
    <w:p w14:paraId="31ED4929" w14:textId="77777777" w:rsidR="00B26FBF" w:rsidRPr="00A0016A" w:rsidRDefault="00B26FBF" w:rsidP="00A0016A">
      <w:pPr>
        <w:pStyle w:val="ListParagraph"/>
        <w:ind w:left="927"/>
        <w:rPr>
          <w:rFonts w:cs="Arial"/>
          <w:szCs w:val="20"/>
        </w:rPr>
      </w:pPr>
    </w:p>
    <w:p w14:paraId="771C7D36" w14:textId="77777777" w:rsidR="00B26FBF" w:rsidRPr="00A0016A" w:rsidRDefault="00B26FBF" w:rsidP="00A0016A">
      <w:pPr>
        <w:pStyle w:val="ListParagraph"/>
        <w:tabs>
          <w:tab w:val="left" w:pos="1036"/>
        </w:tabs>
        <w:ind w:left="994" w:firstLine="14"/>
        <w:rPr>
          <w:rFonts w:cs="Arial"/>
          <w:szCs w:val="20"/>
        </w:rPr>
      </w:pPr>
      <w:r w:rsidRPr="00A0016A">
        <w:rPr>
          <w:rFonts w:cs="Arial"/>
          <w:szCs w:val="20"/>
        </w:rPr>
        <w:t xml:space="preserve">- toute infraction entrant dans le champ d’application et définie dans l’un des traités énumérés en annexe, </w:t>
      </w:r>
      <w:proofErr w:type="gramStart"/>
      <w:r w:rsidRPr="00A0016A">
        <w:rPr>
          <w:rFonts w:cs="Arial"/>
          <w:szCs w:val="20"/>
        </w:rPr>
        <w:t>ou</w:t>
      </w:r>
      <w:proofErr w:type="gramEnd"/>
    </w:p>
    <w:p w14:paraId="3DCB1234" w14:textId="77777777" w:rsidR="00A0016A" w:rsidRDefault="00A0016A">
      <w:pPr>
        <w:rPr>
          <w:rFonts w:cs="Arial"/>
          <w:szCs w:val="20"/>
        </w:rPr>
      </w:pPr>
      <w:r>
        <w:rPr>
          <w:rFonts w:cs="Arial"/>
          <w:szCs w:val="20"/>
        </w:rPr>
        <w:br w:type="page"/>
      </w:r>
    </w:p>
    <w:p w14:paraId="1AFC8039" w14:textId="2A273939" w:rsidR="00B26FBF" w:rsidRPr="00A0016A" w:rsidRDefault="00B26FBF" w:rsidP="00A0016A">
      <w:pPr>
        <w:pStyle w:val="ListParagraph"/>
        <w:tabs>
          <w:tab w:val="left" w:pos="1036"/>
        </w:tabs>
        <w:ind w:left="994" w:firstLine="14"/>
        <w:rPr>
          <w:rFonts w:cs="Arial"/>
          <w:szCs w:val="20"/>
        </w:rPr>
      </w:pPr>
      <w:r w:rsidRPr="00A0016A">
        <w:rPr>
          <w:rFonts w:cs="Arial"/>
          <w:szCs w:val="20"/>
        </w:rPr>
        <w:lastRenderedPageBreak/>
        <w:t xml:space="preserve">- l’un des actes suivants, qui sont définis comme une infraction par le droit national et qui, par leur nature ou leur contexte, peuvent porter gravement atteinte à un pays ou à une organisation internationale, lorsqu’ils sont commis intentionnellement et dans l’un des buts énumérés au paragraphe 2 du présent </w:t>
      </w:r>
      <w:proofErr w:type="gramStart"/>
      <w:r w:rsidRPr="00A0016A">
        <w:rPr>
          <w:rFonts w:cs="Arial"/>
          <w:szCs w:val="20"/>
        </w:rPr>
        <w:t>article:</w:t>
      </w:r>
      <w:proofErr w:type="gramEnd"/>
    </w:p>
    <w:p w14:paraId="63CFCB12" w14:textId="77777777" w:rsidR="00B26FBF" w:rsidRPr="00A0016A" w:rsidRDefault="00B26FBF" w:rsidP="00A0016A">
      <w:pPr>
        <w:pStyle w:val="ListParagraph"/>
        <w:ind w:left="927"/>
        <w:rPr>
          <w:rFonts w:cs="Arial"/>
          <w:szCs w:val="20"/>
        </w:rPr>
      </w:pPr>
    </w:p>
    <w:p w14:paraId="35AE4C81"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les</w:t>
      </w:r>
      <w:proofErr w:type="gramEnd"/>
      <w:r w:rsidRPr="00A0016A">
        <w:rPr>
          <w:rFonts w:cs="Arial"/>
          <w:szCs w:val="20"/>
        </w:rPr>
        <w:t xml:space="preserve"> atteintes à la vie d’une personne, pouvant entraîner la mort; </w:t>
      </w:r>
    </w:p>
    <w:p w14:paraId="7AB9B7F8"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les</w:t>
      </w:r>
      <w:proofErr w:type="gramEnd"/>
      <w:r w:rsidRPr="00A0016A">
        <w:rPr>
          <w:rFonts w:cs="Arial"/>
          <w:szCs w:val="20"/>
        </w:rPr>
        <w:t xml:space="preserve"> atteintes à l’intégrité physique d’une personne;</w:t>
      </w:r>
    </w:p>
    <w:p w14:paraId="41D38D65"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l’enlèvement;</w:t>
      </w:r>
      <w:proofErr w:type="gramEnd"/>
      <w:r w:rsidRPr="00A0016A">
        <w:rPr>
          <w:rFonts w:cs="Arial"/>
          <w:szCs w:val="20"/>
        </w:rPr>
        <w:t xml:space="preserve"> </w:t>
      </w:r>
    </w:p>
    <w:p w14:paraId="6BE42F89"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le</w:t>
      </w:r>
      <w:proofErr w:type="gramEnd"/>
      <w:r w:rsidRPr="00A0016A">
        <w:rPr>
          <w:rFonts w:cs="Arial"/>
          <w:szCs w:val="20"/>
        </w:rPr>
        <w:t xml:space="preserve"> fait de causer des destructions massives à une installation gouvernementale ou publique, à un système de transport, à une infrastructure, à un lieu public ou à une propriété privée, susceptible de mettre en danger des vies humaines ou de produire des pertes économiques considérables;</w:t>
      </w:r>
    </w:p>
    <w:p w14:paraId="2C007E6D"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la</w:t>
      </w:r>
      <w:proofErr w:type="gramEnd"/>
      <w:r w:rsidRPr="00A0016A">
        <w:rPr>
          <w:rFonts w:cs="Arial"/>
          <w:szCs w:val="20"/>
        </w:rPr>
        <w:t xml:space="preserve"> capture de moyens de transport collectifs ou de marchandises, autres que les aéronefs et les navires; </w:t>
      </w:r>
    </w:p>
    <w:p w14:paraId="29FEE58E"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la</w:t>
      </w:r>
      <w:proofErr w:type="gramEnd"/>
      <w:r w:rsidRPr="00A0016A">
        <w:rPr>
          <w:rFonts w:cs="Arial"/>
          <w:szCs w:val="20"/>
        </w:rPr>
        <w:t xml:space="preserve"> fabrication, la possession, l’acquisition, le transport, la fourniture ou l’utilisation d’armes, y compris d’armes chimiques, biologiques, radiologiques ou nucléaires, ainsi que la recherche et le développement pour ce qui est des armes chimiques, biologiques, radiologiques ou nucléaires;</w:t>
      </w:r>
    </w:p>
    <w:p w14:paraId="32B936C7"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la</w:t>
      </w:r>
      <w:proofErr w:type="gramEnd"/>
      <w:r w:rsidRPr="00A0016A">
        <w:rPr>
          <w:rFonts w:cs="Arial"/>
          <w:szCs w:val="20"/>
        </w:rPr>
        <w:t xml:space="preserve"> libération de substances dangereuses, ou la provocation d’incendies ou d’inondations, ayant pour effet de mettre en danger des vies humaines; </w:t>
      </w:r>
    </w:p>
    <w:p w14:paraId="067740FF"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la</w:t>
      </w:r>
      <w:proofErr w:type="gramEnd"/>
      <w:r w:rsidRPr="00A0016A">
        <w:rPr>
          <w:rFonts w:cs="Arial"/>
          <w:szCs w:val="20"/>
        </w:rPr>
        <w:t xml:space="preserve"> perturbation ou l’interruption de l’approvisionnement en eau, en électricité ou toute autre ressource naturelle fondamentale ayant pour effet de mettre en danger des vies humaines;</w:t>
      </w:r>
    </w:p>
    <w:p w14:paraId="28051BCE"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la</w:t>
      </w:r>
      <w:proofErr w:type="gramEnd"/>
      <w:r w:rsidRPr="00A0016A">
        <w:rPr>
          <w:rFonts w:cs="Arial"/>
          <w:szCs w:val="20"/>
        </w:rPr>
        <w:t xml:space="preserve"> perturbation de l’intégrité d’un système ou de données, portant gravement atteinte à un système d’information ou un système informatique; </w:t>
      </w:r>
    </w:p>
    <w:p w14:paraId="670864E8" w14:textId="77777777" w:rsidR="00B26FBF" w:rsidRPr="00A0016A" w:rsidRDefault="00B26FBF" w:rsidP="004E0ACB">
      <w:pPr>
        <w:numPr>
          <w:ilvl w:val="0"/>
          <w:numId w:val="3"/>
        </w:numPr>
        <w:shd w:val="clear" w:color="auto" w:fill="FFFFFF"/>
        <w:ind w:left="1560" w:hanging="284"/>
        <w:rPr>
          <w:rFonts w:cs="Arial"/>
          <w:szCs w:val="20"/>
        </w:rPr>
      </w:pPr>
      <w:proofErr w:type="gramStart"/>
      <w:r w:rsidRPr="00A0016A">
        <w:rPr>
          <w:rFonts w:cs="Arial"/>
          <w:szCs w:val="20"/>
        </w:rPr>
        <w:t>la</w:t>
      </w:r>
      <w:proofErr w:type="gramEnd"/>
      <w:r w:rsidRPr="00A0016A">
        <w:rPr>
          <w:rFonts w:cs="Arial"/>
          <w:szCs w:val="20"/>
        </w:rPr>
        <w:t xml:space="preserve"> menace de commettre l’un des actes énumérés aux points a à i.</w:t>
      </w:r>
    </w:p>
    <w:p w14:paraId="48140587" w14:textId="77777777" w:rsidR="00B26FBF" w:rsidRPr="00A0016A" w:rsidRDefault="00B26FBF" w:rsidP="00A0016A">
      <w:pPr>
        <w:shd w:val="clear" w:color="auto" w:fill="FFFFFF"/>
        <w:ind w:left="1134"/>
        <w:rPr>
          <w:rFonts w:eastAsia="Times New Roman" w:cs="Arial"/>
          <w:szCs w:val="20"/>
          <w:lang w:eastAsia="en-IE"/>
        </w:rPr>
      </w:pPr>
    </w:p>
    <w:p w14:paraId="4324DF70" w14:textId="7A6407AB" w:rsidR="00B26FBF" w:rsidRPr="00A0016A" w:rsidRDefault="00B26FBF" w:rsidP="00A0016A">
      <w:pPr>
        <w:pStyle w:val="Default"/>
        <w:tabs>
          <w:tab w:val="left" w:pos="1022"/>
        </w:tabs>
        <w:ind w:left="709"/>
        <w:rPr>
          <w:rFonts w:eastAsia="Times New Roman"/>
          <w:sz w:val="20"/>
          <w:szCs w:val="20"/>
          <w:lang w:eastAsia="en-IE"/>
        </w:rPr>
      </w:pPr>
      <w:r w:rsidRPr="00A0016A">
        <w:rPr>
          <w:rFonts w:eastAsia="Times New Roman"/>
          <w:sz w:val="20"/>
          <w:szCs w:val="20"/>
          <w:lang w:eastAsia="en-IE"/>
        </w:rPr>
        <w:t>2.</w:t>
      </w:r>
      <w:r w:rsidR="00A0016A">
        <w:rPr>
          <w:rFonts w:eastAsia="Times New Roman"/>
          <w:szCs w:val="20"/>
          <w:lang w:eastAsia="en-IE"/>
        </w:rPr>
        <w:tab/>
      </w:r>
      <w:r w:rsidRPr="00A0016A">
        <w:rPr>
          <w:rFonts w:eastAsia="Times New Roman"/>
          <w:sz w:val="20"/>
          <w:szCs w:val="20"/>
          <w:lang w:eastAsia="en-IE"/>
        </w:rPr>
        <w:t xml:space="preserve">Les buts visés au paragraphe 1 </w:t>
      </w:r>
      <w:r w:rsidRPr="00A0016A">
        <w:rPr>
          <w:sz w:val="20"/>
          <w:szCs w:val="20"/>
        </w:rPr>
        <w:t>du présent article</w:t>
      </w:r>
      <w:r w:rsidRPr="00A0016A">
        <w:rPr>
          <w:rFonts w:eastAsia="Times New Roman"/>
          <w:sz w:val="20"/>
          <w:szCs w:val="20"/>
          <w:lang w:eastAsia="en-IE"/>
        </w:rPr>
        <w:t xml:space="preserve"> sont les </w:t>
      </w:r>
      <w:proofErr w:type="gramStart"/>
      <w:r w:rsidRPr="00A0016A">
        <w:rPr>
          <w:rFonts w:eastAsia="Times New Roman"/>
          <w:sz w:val="20"/>
          <w:szCs w:val="20"/>
          <w:lang w:eastAsia="en-IE"/>
        </w:rPr>
        <w:t>suivants:</w:t>
      </w:r>
      <w:proofErr w:type="gramEnd"/>
    </w:p>
    <w:p w14:paraId="789CABE4" w14:textId="77777777" w:rsidR="00B26FBF" w:rsidRPr="00A0016A" w:rsidRDefault="00B26FBF" w:rsidP="00A0016A">
      <w:pPr>
        <w:shd w:val="clear" w:color="auto" w:fill="FFFFFF"/>
        <w:ind w:left="1134"/>
        <w:rPr>
          <w:rFonts w:eastAsia="Times New Roman" w:cs="Arial"/>
          <w:szCs w:val="20"/>
          <w:lang w:eastAsia="en-IE"/>
        </w:rPr>
      </w:pPr>
    </w:p>
    <w:p w14:paraId="2D7B52B9" w14:textId="77777777" w:rsidR="00B26FBF" w:rsidRPr="00A0016A" w:rsidRDefault="00B26FBF" w:rsidP="004E0ACB">
      <w:pPr>
        <w:pStyle w:val="ListParagraph"/>
        <w:numPr>
          <w:ilvl w:val="0"/>
          <w:numId w:val="4"/>
        </w:numPr>
        <w:shd w:val="clear" w:color="auto" w:fill="FFFFFF"/>
        <w:ind w:left="1560" w:hanging="284"/>
        <w:rPr>
          <w:rFonts w:eastAsia="Times New Roman" w:cs="Arial"/>
          <w:szCs w:val="20"/>
          <w:lang w:eastAsia="en-IE"/>
        </w:rPr>
      </w:pPr>
      <w:proofErr w:type="gramStart"/>
      <w:r w:rsidRPr="00A0016A">
        <w:rPr>
          <w:rFonts w:eastAsia="Times New Roman" w:cs="Arial"/>
          <w:szCs w:val="20"/>
          <w:lang w:eastAsia="en-IE"/>
        </w:rPr>
        <w:t>gravement</w:t>
      </w:r>
      <w:proofErr w:type="gramEnd"/>
      <w:r w:rsidRPr="00A0016A">
        <w:rPr>
          <w:rFonts w:eastAsia="Times New Roman" w:cs="Arial"/>
          <w:szCs w:val="20"/>
          <w:lang w:eastAsia="en-IE"/>
        </w:rPr>
        <w:t xml:space="preserve"> intimider une population;</w:t>
      </w:r>
    </w:p>
    <w:p w14:paraId="6F2157A6" w14:textId="77777777" w:rsidR="00B26FBF" w:rsidRPr="00A0016A" w:rsidRDefault="00B26FBF" w:rsidP="004E0ACB">
      <w:pPr>
        <w:pStyle w:val="ListParagraph"/>
        <w:numPr>
          <w:ilvl w:val="0"/>
          <w:numId w:val="4"/>
        </w:numPr>
        <w:shd w:val="clear" w:color="auto" w:fill="FFFFFF"/>
        <w:ind w:left="1560" w:hanging="284"/>
        <w:rPr>
          <w:rFonts w:eastAsia="Times New Roman" w:cs="Arial"/>
          <w:szCs w:val="20"/>
          <w:lang w:eastAsia="en-IE"/>
        </w:rPr>
      </w:pPr>
      <w:proofErr w:type="gramStart"/>
      <w:r w:rsidRPr="00A0016A">
        <w:rPr>
          <w:rFonts w:eastAsia="Times New Roman" w:cs="Arial"/>
          <w:szCs w:val="20"/>
          <w:lang w:eastAsia="en-IE"/>
        </w:rPr>
        <w:t>contraindre</w:t>
      </w:r>
      <w:proofErr w:type="gramEnd"/>
      <w:r w:rsidRPr="00A0016A">
        <w:rPr>
          <w:rFonts w:eastAsia="Times New Roman" w:cs="Arial"/>
          <w:szCs w:val="20"/>
          <w:lang w:eastAsia="en-IE"/>
        </w:rPr>
        <w:t xml:space="preserve"> indûment des pouvoirs publics ou une organisation internationale à accomplir ou à s’abstenir d’accomplir un acte quelconque;</w:t>
      </w:r>
    </w:p>
    <w:p w14:paraId="6D2C7057" w14:textId="77777777" w:rsidR="00B26FBF" w:rsidRPr="00A0016A" w:rsidRDefault="00B26FBF" w:rsidP="004E0ACB">
      <w:pPr>
        <w:pStyle w:val="ListParagraph"/>
        <w:numPr>
          <w:ilvl w:val="0"/>
          <w:numId w:val="4"/>
        </w:numPr>
        <w:shd w:val="clear" w:color="auto" w:fill="FFFFFF"/>
        <w:ind w:left="1560" w:hanging="284"/>
        <w:rPr>
          <w:rFonts w:eastAsia="Times New Roman" w:cs="Arial"/>
          <w:szCs w:val="20"/>
          <w:lang w:eastAsia="en-IE"/>
        </w:rPr>
      </w:pPr>
      <w:proofErr w:type="gramStart"/>
      <w:r w:rsidRPr="00A0016A">
        <w:rPr>
          <w:rFonts w:eastAsia="Times New Roman" w:cs="Arial"/>
          <w:szCs w:val="20"/>
          <w:lang w:eastAsia="en-IE"/>
        </w:rPr>
        <w:t>gravement</w:t>
      </w:r>
      <w:proofErr w:type="gramEnd"/>
      <w:r w:rsidRPr="00A0016A">
        <w:rPr>
          <w:rFonts w:eastAsia="Times New Roman" w:cs="Arial"/>
          <w:szCs w:val="20"/>
          <w:lang w:eastAsia="en-IE"/>
        </w:rPr>
        <w:t xml:space="preserve"> déstabiliser ou détruire les structures politiques, constitutionnelles, économiques ou sociales fondamentales d’un pays ou d’une organisation internationale.»</w:t>
      </w:r>
    </w:p>
    <w:bookmarkEnd w:id="3"/>
    <w:p w14:paraId="5CDEAF51" w14:textId="77777777" w:rsidR="00B26FBF" w:rsidRPr="00A0016A" w:rsidRDefault="00B26FBF" w:rsidP="00A0016A">
      <w:pPr>
        <w:pStyle w:val="Default"/>
        <w:rPr>
          <w:color w:val="0070C0"/>
          <w:sz w:val="20"/>
          <w:szCs w:val="20"/>
        </w:rPr>
      </w:pPr>
    </w:p>
    <w:p w14:paraId="65F89E0D" w14:textId="4D07FD72" w:rsidR="00B26FBF" w:rsidRDefault="00B26FBF" w:rsidP="00A0016A">
      <w:pPr>
        <w:pStyle w:val="Default"/>
        <w:rPr>
          <w:b/>
          <w:bCs/>
          <w:color w:val="auto"/>
          <w:sz w:val="20"/>
          <w:szCs w:val="20"/>
        </w:rPr>
      </w:pPr>
      <w:r w:rsidRPr="00A0016A">
        <w:rPr>
          <w:b/>
          <w:bCs/>
          <w:color w:val="auto"/>
          <w:sz w:val="20"/>
          <w:szCs w:val="20"/>
        </w:rPr>
        <w:t xml:space="preserve">Article 2 </w:t>
      </w:r>
      <w:r w:rsidRPr="00A0016A">
        <w:rPr>
          <w:b/>
          <w:bCs/>
          <w:color w:val="auto"/>
          <w:sz w:val="20"/>
          <w:szCs w:val="20"/>
        </w:rPr>
        <w:softHyphen/>
        <w:t>– Signature et ratification</w:t>
      </w:r>
    </w:p>
    <w:p w14:paraId="09205711" w14:textId="77777777" w:rsidR="00A0016A" w:rsidRPr="00A0016A" w:rsidRDefault="00A0016A" w:rsidP="00A0016A">
      <w:pPr>
        <w:pStyle w:val="Default"/>
        <w:rPr>
          <w:b/>
          <w:bCs/>
          <w:color w:val="auto"/>
          <w:sz w:val="20"/>
          <w:szCs w:val="20"/>
        </w:rPr>
      </w:pPr>
    </w:p>
    <w:p w14:paraId="0DD43A95" w14:textId="77777777" w:rsidR="00B26FBF" w:rsidRDefault="00B26FBF" w:rsidP="00A0016A">
      <w:pPr>
        <w:pStyle w:val="Default"/>
        <w:rPr>
          <w:color w:val="auto"/>
          <w:sz w:val="20"/>
          <w:szCs w:val="20"/>
        </w:rPr>
      </w:pPr>
      <w:bookmarkStart w:id="4" w:name="_Hlk167799839"/>
      <w:r w:rsidRPr="00A0016A">
        <w:rPr>
          <w:color w:val="auto"/>
          <w:sz w:val="20"/>
          <w:szCs w:val="20"/>
        </w:rPr>
        <w:t>Le présent Protocole est ouvert à la signature des Parties à la Convention. Il est soumis à ratification, acceptation ou approbation. Les instruments de ratification, d’acceptation ou d’approbation seront déposés près le Secrétaire Général du Conseil de l’Europe.</w:t>
      </w:r>
    </w:p>
    <w:p w14:paraId="27330422" w14:textId="77777777" w:rsidR="00A0016A" w:rsidRPr="00A0016A" w:rsidRDefault="00A0016A" w:rsidP="00A0016A">
      <w:pPr>
        <w:pStyle w:val="Default"/>
        <w:rPr>
          <w:b/>
          <w:bCs/>
          <w:color w:val="auto"/>
          <w:sz w:val="20"/>
          <w:szCs w:val="20"/>
        </w:rPr>
      </w:pPr>
    </w:p>
    <w:bookmarkEnd w:id="4"/>
    <w:p w14:paraId="21D82226" w14:textId="77777777" w:rsidR="00B26FBF" w:rsidRDefault="00B26FBF" w:rsidP="00A0016A">
      <w:pPr>
        <w:pStyle w:val="Default"/>
        <w:rPr>
          <w:b/>
          <w:bCs/>
          <w:color w:val="auto"/>
          <w:sz w:val="20"/>
          <w:szCs w:val="20"/>
        </w:rPr>
      </w:pPr>
      <w:r w:rsidRPr="00A0016A">
        <w:rPr>
          <w:b/>
          <w:bCs/>
          <w:color w:val="auto"/>
          <w:sz w:val="20"/>
          <w:szCs w:val="20"/>
        </w:rPr>
        <w:t>Article 3 – Entrée en vigueur</w:t>
      </w:r>
    </w:p>
    <w:p w14:paraId="282F19F8" w14:textId="77777777" w:rsidR="00A0016A" w:rsidRPr="00A0016A" w:rsidRDefault="00A0016A" w:rsidP="00A0016A">
      <w:pPr>
        <w:pStyle w:val="Default"/>
        <w:rPr>
          <w:b/>
          <w:bCs/>
          <w:color w:val="auto"/>
          <w:sz w:val="20"/>
          <w:szCs w:val="20"/>
        </w:rPr>
      </w:pPr>
    </w:p>
    <w:p w14:paraId="7BA2D23C" w14:textId="77777777" w:rsidR="00B26FBF" w:rsidRPr="00A0016A" w:rsidRDefault="00B26FBF" w:rsidP="004E0ACB">
      <w:pPr>
        <w:pStyle w:val="Default"/>
        <w:numPr>
          <w:ilvl w:val="0"/>
          <w:numId w:val="1"/>
        </w:numPr>
        <w:ind w:left="993" w:hanging="284"/>
        <w:rPr>
          <w:b/>
          <w:bCs/>
          <w:color w:val="0070C0"/>
          <w:sz w:val="20"/>
          <w:szCs w:val="20"/>
        </w:rPr>
      </w:pPr>
      <w:r w:rsidRPr="00A0016A">
        <w:rPr>
          <w:color w:val="auto"/>
          <w:sz w:val="20"/>
          <w:szCs w:val="20"/>
        </w:rPr>
        <w:t xml:space="preserve">Le présent Protocole entrera en vigueur le premier jour du mois qui suit l’expiration d’une période de trois mois après la date à laquelle toutes les Parties à la Convention auront exprimé leur consentement à être liées par le Protocole, conformément aux dispositions de l’article 2 </w:t>
      </w:r>
      <w:r w:rsidRPr="00A0016A">
        <w:rPr>
          <w:sz w:val="20"/>
          <w:szCs w:val="20"/>
        </w:rPr>
        <w:t>du présent Protocole</w:t>
      </w:r>
      <w:r w:rsidRPr="00A0016A">
        <w:rPr>
          <w:color w:val="auto"/>
          <w:sz w:val="20"/>
          <w:szCs w:val="20"/>
        </w:rPr>
        <w:t>.</w:t>
      </w:r>
    </w:p>
    <w:p w14:paraId="30683E1C" w14:textId="77777777" w:rsidR="00B26FBF" w:rsidRPr="00A0016A" w:rsidRDefault="00B26FBF" w:rsidP="00A0016A">
      <w:pPr>
        <w:pStyle w:val="Default"/>
        <w:ind w:left="993" w:hanging="284"/>
        <w:rPr>
          <w:b/>
          <w:bCs/>
          <w:color w:val="0070C0"/>
          <w:sz w:val="20"/>
          <w:szCs w:val="20"/>
        </w:rPr>
      </w:pPr>
    </w:p>
    <w:p w14:paraId="2A238AD2" w14:textId="77777777" w:rsidR="00B26FBF" w:rsidRPr="00A0016A" w:rsidRDefault="00B26FBF" w:rsidP="004E0ACB">
      <w:pPr>
        <w:pStyle w:val="Default"/>
        <w:numPr>
          <w:ilvl w:val="0"/>
          <w:numId w:val="1"/>
        </w:numPr>
        <w:ind w:left="993" w:hanging="284"/>
        <w:rPr>
          <w:b/>
          <w:bCs/>
          <w:color w:val="auto"/>
          <w:sz w:val="20"/>
          <w:szCs w:val="20"/>
        </w:rPr>
      </w:pPr>
      <w:r w:rsidRPr="00A0016A">
        <w:rPr>
          <w:color w:val="auto"/>
          <w:sz w:val="20"/>
          <w:szCs w:val="20"/>
        </w:rPr>
        <w:t xml:space="preserve">Dans l’hypothèse où le présent Protocole ne serait pas entré en vigueur conformément au paragraphe 1 </w:t>
      </w:r>
      <w:r w:rsidRPr="00A0016A">
        <w:rPr>
          <w:sz w:val="20"/>
          <w:szCs w:val="20"/>
        </w:rPr>
        <w:t>du présent article</w:t>
      </w:r>
      <w:r w:rsidRPr="00A0016A">
        <w:rPr>
          <w:color w:val="auto"/>
          <w:sz w:val="20"/>
          <w:szCs w:val="20"/>
        </w:rPr>
        <w:t>, à l’expiration d’une période de trois ans après la date à laquelle il a été ouvert à la signature, le Protocole entrera en vigueur, à l’égard des États ayant exprimé leur consentement à être liés par celui-ci, conformément au paragraphe 1</w:t>
      </w:r>
      <w:r w:rsidRPr="00A0016A">
        <w:rPr>
          <w:color w:val="0070C0"/>
          <w:sz w:val="20"/>
          <w:szCs w:val="20"/>
        </w:rPr>
        <w:t xml:space="preserve">, </w:t>
      </w:r>
      <w:r w:rsidRPr="00A0016A">
        <w:rPr>
          <w:color w:val="auto"/>
          <w:sz w:val="20"/>
          <w:szCs w:val="20"/>
        </w:rPr>
        <w:t xml:space="preserve">pourvu que </w:t>
      </w:r>
      <w:bookmarkStart w:id="5" w:name="_Hlk167799984"/>
      <w:r w:rsidRPr="00A0016A">
        <w:rPr>
          <w:color w:val="auto"/>
          <w:sz w:val="20"/>
          <w:szCs w:val="20"/>
        </w:rPr>
        <w:t xml:space="preserve">le Protocole d’amendement </w:t>
      </w:r>
      <w:bookmarkEnd w:id="5"/>
      <w:r w:rsidRPr="00A0016A">
        <w:rPr>
          <w:color w:val="auto"/>
          <w:sz w:val="20"/>
          <w:szCs w:val="20"/>
        </w:rPr>
        <w:t>ait été ratifié par au moins deux tiers des Parties à la Convention. En ce qui concerne les Parties au Protocole, toutes les dispositions de la Convention amendée prennent effet immédiatement après son entrée en vigueur.</w:t>
      </w:r>
    </w:p>
    <w:p w14:paraId="30915B2E" w14:textId="77777777" w:rsidR="00B26FBF" w:rsidRPr="00A0016A" w:rsidRDefault="00B26FBF" w:rsidP="00A0016A">
      <w:pPr>
        <w:pStyle w:val="ListParagraph"/>
        <w:ind w:left="993" w:hanging="284"/>
        <w:rPr>
          <w:rFonts w:cs="Arial"/>
          <w:szCs w:val="20"/>
        </w:rPr>
      </w:pPr>
    </w:p>
    <w:p w14:paraId="5363B2BA" w14:textId="3793E21D" w:rsidR="00B26FBF" w:rsidRPr="00A0016A" w:rsidRDefault="00B26FBF" w:rsidP="004E0ACB">
      <w:pPr>
        <w:pStyle w:val="Default"/>
        <w:numPr>
          <w:ilvl w:val="0"/>
          <w:numId w:val="1"/>
        </w:numPr>
        <w:ind w:left="993" w:hanging="284"/>
        <w:rPr>
          <w:b/>
          <w:bCs/>
          <w:color w:val="0070C0"/>
          <w:sz w:val="20"/>
          <w:szCs w:val="20"/>
        </w:rPr>
      </w:pPr>
      <w:r w:rsidRPr="00A0016A">
        <w:rPr>
          <w:color w:val="auto"/>
          <w:sz w:val="20"/>
          <w:szCs w:val="20"/>
        </w:rPr>
        <w:t xml:space="preserve">En attendant l’entrée en vigueur du présent Protocole, et sans préjudice des dispositions relatives à l’entrée en vigueur et à l’adhésion d’États </w:t>
      </w:r>
      <w:r w:rsidR="0072436D" w:rsidRPr="00A0016A">
        <w:rPr>
          <w:color w:val="auto"/>
          <w:sz w:val="20"/>
          <w:szCs w:val="20"/>
        </w:rPr>
        <w:t>non-membres</w:t>
      </w:r>
      <w:r w:rsidRPr="00A0016A">
        <w:rPr>
          <w:color w:val="auto"/>
          <w:sz w:val="20"/>
          <w:szCs w:val="20"/>
        </w:rPr>
        <w:t>, une Partie à la Convention peut, au moment de la signature du présent Protocole, ou à tout moment ultérieur, déclarer que les dispositions du présent Protocole lui seront applicables à titre provisoire. Dans ce cas, les dispositions du présent Protocole ne s’appliqueront qu’aux Parties à la Convention ayant fait une déclaration similaire à cet effet. Cette déclaration prendra effet le premier jour du troisième mois qui suit la date de sa réception par le Secrétaire Général du Conseil de l’Europe.</w:t>
      </w:r>
    </w:p>
    <w:p w14:paraId="32CC5A32" w14:textId="77777777" w:rsidR="00B26FBF" w:rsidRPr="00A0016A" w:rsidRDefault="00B26FBF" w:rsidP="00A0016A">
      <w:pPr>
        <w:pStyle w:val="ListParagraph"/>
        <w:rPr>
          <w:rFonts w:cs="Arial"/>
          <w:b/>
          <w:bCs/>
          <w:szCs w:val="20"/>
        </w:rPr>
      </w:pPr>
    </w:p>
    <w:p w14:paraId="44EE01C1" w14:textId="77777777" w:rsidR="00A0016A" w:rsidRDefault="00A0016A">
      <w:pPr>
        <w:rPr>
          <w:rFonts w:cs="Arial"/>
          <w:b/>
          <w:bCs/>
          <w:szCs w:val="20"/>
          <w:lang w:eastAsia="en-GB"/>
        </w:rPr>
      </w:pPr>
      <w:r>
        <w:rPr>
          <w:b/>
          <w:bCs/>
          <w:szCs w:val="20"/>
        </w:rPr>
        <w:br w:type="page"/>
      </w:r>
    </w:p>
    <w:p w14:paraId="64ACF4B9" w14:textId="0DD524B6" w:rsidR="00B26FBF" w:rsidRPr="00A0016A" w:rsidRDefault="00B26FBF" w:rsidP="00A0016A">
      <w:pPr>
        <w:pStyle w:val="Default"/>
        <w:rPr>
          <w:b/>
          <w:bCs/>
          <w:color w:val="auto"/>
          <w:sz w:val="20"/>
          <w:szCs w:val="20"/>
        </w:rPr>
      </w:pPr>
      <w:r w:rsidRPr="00A0016A">
        <w:rPr>
          <w:b/>
          <w:bCs/>
          <w:color w:val="auto"/>
          <w:sz w:val="20"/>
          <w:szCs w:val="20"/>
        </w:rPr>
        <w:lastRenderedPageBreak/>
        <w:t>Article 4 – Déclarations relatives à la Convention</w:t>
      </w:r>
    </w:p>
    <w:p w14:paraId="5A353EC3" w14:textId="77777777" w:rsidR="00B26FBF" w:rsidRPr="00A0016A" w:rsidRDefault="00B26FBF" w:rsidP="00A0016A">
      <w:pPr>
        <w:pStyle w:val="Default"/>
        <w:rPr>
          <w:b/>
          <w:bCs/>
          <w:color w:val="auto"/>
          <w:sz w:val="20"/>
          <w:szCs w:val="20"/>
        </w:rPr>
      </w:pPr>
    </w:p>
    <w:p w14:paraId="47B5ABB6" w14:textId="77777777" w:rsidR="00B26FBF" w:rsidRPr="00A0016A" w:rsidRDefault="00B26FBF" w:rsidP="00A0016A">
      <w:pPr>
        <w:pStyle w:val="Default"/>
        <w:rPr>
          <w:color w:val="auto"/>
          <w:sz w:val="20"/>
          <w:szCs w:val="20"/>
        </w:rPr>
      </w:pPr>
      <w:r w:rsidRPr="00A0016A">
        <w:rPr>
          <w:color w:val="auto"/>
          <w:sz w:val="20"/>
          <w:szCs w:val="20"/>
        </w:rPr>
        <w:t>Dès la date d’entrée en vigueur du présent Protocole, pour les Parties ayant fait une ou plusieurs déclarations en vertu de l’article 1 de la Convention, cette ou ces déclarations deviendront caduques.</w:t>
      </w:r>
    </w:p>
    <w:p w14:paraId="1F893C09" w14:textId="77777777" w:rsidR="00B26FBF" w:rsidRPr="00A0016A" w:rsidRDefault="00B26FBF" w:rsidP="00A0016A">
      <w:pPr>
        <w:pStyle w:val="Default"/>
        <w:rPr>
          <w:color w:val="0070C0"/>
          <w:sz w:val="20"/>
          <w:szCs w:val="20"/>
        </w:rPr>
      </w:pPr>
    </w:p>
    <w:p w14:paraId="6ED0F3B8" w14:textId="77777777" w:rsidR="00B26FBF" w:rsidRPr="00A0016A" w:rsidRDefault="00B26FBF" w:rsidP="00A0016A">
      <w:pPr>
        <w:pStyle w:val="Default"/>
        <w:rPr>
          <w:b/>
          <w:bCs/>
          <w:color w:val="auto"/>
          <w:sz w:val="20"/>
          <w:szCs w:val="20"/>
        </w:rPr>
      </w:pPr>
      <w:r w:rsidRPr="00A0016A">
        <w:rPr>
          <w:b/>
          <w:bCs/>
          <w:color w:val="auto"/>
          <w:sz w:val="20"/>
          <w:szCs w:val="20"/>
        </w:rPr>
        <w:t>Article 5 – Réserves</w:t>
      </w:r>
    </w:p>
    <w:p w14:paraId="6122BA80" w14:textId="77777777" w:rsidR="00B26FBF" w:rsidRPr="00A0016A" w:rsidRDefault="00B26FBF" w:rsidP="00A0016A">
      <w:pPr>
        <w:pStyle w:val="Default"/>
        <w:rPr>
          <w:color w:val="auto"/>
          <w:sz w:val="20"/>
          <w:szCs w:val="20"/>
        </w:rPr>
      </w:pPr>
    </w:p>
    <w:p w14:paraId="0C59A6A1" w14:textId="77777777" w:rsidR="00B26FBF" w:rsidRPr="00A0016A" w:rsidRDefault="00B26FBF" w:rsidP="00A0016A">
      <w:pPr>
        <w:pStyle w:val="Default"/>
        <w:rPr>
          <w:color w:val="auto"/>
          <w:sz w:val="20"/>
          <w:szCs w:val="20"/>
        </w:rPr>
      </w:pPr>
      <w:r w:rsidRPr="00A0016A">
        <w:rPr>
          <w:color w:val="auto"/>
          <w:sz w:val="20"/>
          <w:szCs w:val="20"/>
        </w:rPr>
        <w:t>Aucune réserve ne peut être faite aux dispositions du présent Protocole.</w:t>
      </w:r>
    </w:p>
    <w:p w14:paraId="665A3811" w14:textId="77777777" w:rsidR="00B26FBF" w:rsidRPr="00A0016A" w:rsidRDefault="00B26FBF" w:rsidP="00A0016A">
      <w:pPr>
        <w:pStyle w:val="Default"/>
        <w:rPr>
          <w:color w:val="auto"/>
          <w:sz w:val="20"/>
          <w:szCs w:val="20"/>
        </w:rPr>
      </w:pPr>
    </w:p>
    <w:p w14:paraId="2E25CC41" w14:textId="77777777" w:rsidR="00B26FBF" w:rsidRPr="00A0016A" w:rsidRDefault="00B26FBF" w:rsidP="00A0016A">
      <w:pPr>
        <w:pStyle w:val="Default"/>
        <w:rPr>
          <w:b/>
          <w:bCs/>
          <w:color w:val="auto"/>
          <w:sz w:val="20"/>
          <w:szCs w:val="20"/>
        </w:rPr>
      </w:pPr>
      <w:r w:rsidRPr="00A0016A">
        <w:rPr>
          <w:b/>
          <w:bCs/>
          <w:color w:val="auto"/>
          <w:sz w:val="20"/>
          <w:szCs w:val="20"/>
        </w:rPr>
        <w:t>Article 6 – Notifications</w:t>
      </w:r>
    </w:p>
    <w:p w14:paraId="7B19988D" w14:textId="77777777" w:rsidR="00B26FBF" w:rsidRPr="00A0016A" w:rsidRDefault="00B26FBF" w:rsidP="00A0016A">
      <w:pPr>
        <w:pStyle w:val="Default"/>
        <w:rPr>
          <w:b/>
          <w:bCs/>
          <w:color w:val="auto"/>
          <w:sz w:val="20"/>
          <w:szCs w:val="20"/>
        </w:rPr>
      </w:pPr>
    </w:p>
    <w:p w14:paraId="1FFE493E" w14:textId="77777777" w:rsidR="00B26FBF" w:rsidRPr="00A0016A" w:rsidRDefault="00B26FBF" w:rsidP="00A0016A">
      <w:pPr>
        <w:pStyle w:val="Default"/>
        <w:rPr>
          <w:b/>
          <w:bCs/>
          <w:color w:val="auto"/>
          <w:sz w:val="20"/>
          <w:szCs w:val="20"/>
        </w:rPr>
      </w:pPr>
      <w:r w:rsidRPr="00A0016A">
        <w:rPr>
          <w:color w:val="auto"/>
          <w:sz w:val="20"/>
          <w:szCs w:val="20"/>
        </w:rPr>
        <w:t xml:space="preserve">Le Secrétaire Général du Conseil de l’Europe notifiera aux États membres du Conseil de l’Europe et à toute autre Partie à la </w:t>
      </w:r>
      <w:proofErr w:type="gramStart"/>
      <w:r w:rsidRPr="00A0016A">
        <w:rPr>
          <w:color w:val="auto"/>
          <w:sz w:val="20"/>
          <w:szCs w:val="20"/>
        </w:rPr>
        <w:t>Convention:</w:t>
      </w:r>
      <w:proofErr w:type="gramEnd"/>
    </w:p>
    <w:p w14:paraId="794C9847" w14:textId="77777777" w:rsidR="00B26FBF" w:rsidRPr="00A0016A" w:rsidRDefault="00B26FBF" w:rsidP="00A0016A">
      <w:pPr>
        <w:pStyle w:val="Default"/>
        <w:rPr>
          <w:b/>
          <w:bCs/>
          <w:color w:val="auto"/>
          <w:sz w:val="20"/>
          <w:szCs w:val="20"/>
        </w:rPr>
      </w:pPr>
    </w:p>
    <w:p w14:paraId="0A7AC3F2" w14:textId="77777777" w:rsidR="00B26FBF" w:rsidRPr="00A0016A" w:rsidRDefault="00B26FBF" w:rsidP="004E0ACB">
      <w:pPr>
        <w:pStyle w:val="Default"/>
        <w:numPr>
          <w:ilvl w:val="0"/>
          <w:numId w:val="2"/>
        </w:numPr>
        <w:ind w:left="993" w:hanging="284"/>
        <w:rPr>
          <w:b/>
          <w:bCs/>
          <w:color w:val="auto"/>
          <w:sz w:val="20"/>
          <w:szCs w:val="20"/>
        </w:rPr>
      </w:pPr>
      <w:proofErr w:type="gramStart"/>
      <w:r w:rsidRPr="00A0016A">
        <w:rPr>
          <w:color w:val="auto"/>
          <w:sz w:val="20"/>
          <w:szCs w:val="20"/>
        </w:rPr>
        <w:t>toute</w:t>
      </w:r>
      <w:proofErr w:type="gramEnd"/>
      <w:r w:rsidRPr="00A0016A">
        <w:rPr>
          <w:color w:val="auto"/>
          <w:sz w:val="20"/>
          <w:szCs w:val="20"/>
        </w:rPr>
        <w:t xml:space="preserve"> signature;</w:t>
      </w:r>
    </w:p>
    <w:p w14:paraId="22BBE0F9" w14:textId="77777777" w:rsidR="00B26FBF" w:rsidRPr="00A0016A" w:rsidRDefault="00B26FBF" w:rsidP="00A0016A">
      <w:pPr>
        <w:pStyle w:val="Default"/>
        <w:ind w:left="993" w:hanging="284"/>
        <w:rPr>
          <w:b/>
          <w:bCs/>
          <w:color w:val="auto"/>
          <w:sz w:val="20"/>
          <w:szCs w:val="20"/>
        </w:rPr>
      </w:pPr>
    </w:p>
    <w:p w14:paraId="1CB283EE" w14:textId="77777777" w:rsidR="00B26FBF" w:rsidRPr="00A0016A" w:rsidRDefault="00B26FBF" w:rsidP="004E0ACB">
      <w:pPr>
        <w:pStyle w:val="Default"/>
        <w:numPr>
          <w:ilvl w:val="0"/>
          <w:numId w:val="2"/>
        </w:numPr>
        <w:ind w:left="993" w:hanging="284"/>
        <w:rPr>
          <w:b/>
          <w:bCs/>
          <w:color w:val="auto"/>
          <w:sz w:val="20"/>
          <w:szCs w:val="20"/>
        </w:rPr>
      </w:pPr>
      <w:proofErr w:type="gramStart"/>
      <w:r w:rsidRPr="00A0016A">
        <w:rPr>
          <w:color w:val="auto"/>
          <w:sz w:val="20"/>
          <w:szCs w:val="20"/>
        </w:rPr>
        <w:t>le</w:t>
      </w:r>
      <w:proofErr w:type="gramEnd"/>
      <w:r w:rsidRPr="00A0016A">
        <w:rPr>
          <w:color w:val="auto"/>
          <w:sz w:val="20"/>
          <w:szCs w:val="20"/>
        </w:rPr>
        <w:t xml:space="preserve"> dépôt de tout instrument de ratification, d’acceptation ou d’approbation;</w:t>
      </w:r>
    </w:p>
    <w:p w14:paraId="077C0247" w14:textId="77777777" w:rsidR="00B26FBF" w:rsidRPr="00A0016A" w:rsidRDefault="00B26FBF" w:rsidP="00A0016A">
      <w:pPr>
        <w:pStyle w:val="Default"/>
        <w:ind w:left="993" w:hanging="284"/>
        <w:rPr>
          <w:b/>
          <w:bCs/>
          <w:color w:val="auto"/>
          <w:sz w:val="20"/>
          <w:szCs w:val="20"/>
        </w:rPr>
      </w:pPr>
    </w:p>
    <w:p w14:paraId="3B7015D7" w14:textId="77777777" w:rsidR="00B26FBF" w:rsidRPr="00A0016A" w:rsidRDefault="00B26FBF" w:rsidP="004E0ACB">
      <w:pPr>
        <w:pStyle w:val="Default"/>
        <w:numPr>
          <w:ilvl w:val="0"/>
          <w:numId w:val="2"/>
        </w:numPr>
        <w:ind w:left="993" w:hanging="284"/>
        <w:rPr>
          <w:b/>
          <w:bCs/>
          <w:color w:val="auto"/>
          <w:sz w:val="20"/>
          <w:szCs w:val="20"/>
        </w:rPr>
      </w:pPr>
      <w:proofErr w:type="gramStart"/>
      <w:r w:rsidRPr="00A0016A">
        <w:rPr>
          <w:color w:val="auto"/>
          <w:sz w:val="20"/>
          <w:szCs w:val="20"/>
        </w:rPr>
        <w:t>la</w:t>
      </w:r>
      <w:proofErr w:type="gramEnd"/>
      <w:r w:rsidRPr="00A0016A">
        <w:rPr>
          <w:color w:val="auto"/>
          <w:sz w:val="20"/>
          <w:szCs w:val="20"/>
        </w:rPr>
        <w:t xml:space="preserve"> date d’entrée en vigueur du présent Protocole conformément à l’article 3;</w:t>
      </w:r>
    </w:p>
    <w:p w14:paraId="5602ADD9" w14:textId="77777777" w:rsidR="00B26FBF" w:rsidRPr="00A0016A" w:rsidRDefault="00B26FBF" w:rsidP="00A0016A">
      <w:pPr>
        <w:pStyle w:val="Default"/>
        <w:ind w:left="993" w:hanging="284"/>
        <w:rPr>
          <w:b/>
          <w:bCs/>
          <w:color w:val="auto"/>
          <w:sz w:val="20"/>
          <w:szCs w:val="20"/>
        </w:rPr>
      </w:pPr>
    </w:p>
    <w:p w14:paraId="3FD44861" w14:textId="77777777" w:rsidR="00B26FBF" w:rsidRPr="00A0016A" w:rsidRDefault="00B26FBF" w:rsidP="004E0ACB">
      <w:pPr>
        <w:pStyle w:val="Default"/>
        <w:numPr>
          <w:ilvl w:val="0"/>
          <w:numId w:val="2"/>
        </w:numPr>
        <w:ind w:left="993" w:hanging="284"/>
        <w:rPr>
          <w:b/>
          <w:bCs/>
          <w:color w:val="auto"/>
          <w:sz w:val="20"/>
          <w:szCs w:val="20"/>
        </w:rPr>
      </w:pPr>
      <w:proofErr w:type="gramStart"/>
      <w:r w:rsidRPr="00A0016A">
        <w:rPr>
          <w:color w:val="auto"/>
          <w:sz w:val="20"/>
          <w:szCs w:val="20"/>
        </w:rPr>
        <w:t>tout</w:t>
      </w:r>
      <w:proofErr w:type="gramEnd"/>
      <w:r w:rsidRPr="00A0016A">
        <w:rPr>
          <w:color w:val="auto"/>
          <w:sz w:val="20"/>
          <w:szCs w:val="20"/>
        </w:rPr>
        <w:t xml:space="preserve"> autre acte, notification ou communication ayant trait au présent Protocole.</w:t>
      </w:r>
    </w:p>
    <w:p w14:paraId="15387C8B" w14:textId="77777777" w:rsidR="00B26FBF" w:rsidRPr="00A0016A" w:rsidRDefault="00B26FBF" w:rsidP="00A0016A">
      <w:pPr>
        <w:pStyle w:val="Default"/>
        <w:rPr>
          <w:b/>
          <w:bCs/>
          <w:color w:val="auto"/>
          <w:sz w:val="20"/>
          <w:szCs w:val="20"/>
        </w:rPr>
      </w:pPr>
    </w:p>
    <w:p w14:paraId="330E8F2D" w14:textId="77777777" w:rsidR="00B26FBF" w:rsidRPr="00A0016A" w:rsidRDefault="00B26FBF" w:rsidP="00A0016A">
      <w:pPr>
        <w:pStyle w:val="Default"/>
        <w:rPr>
          <w:color w:val="auto"/>
          <w:sz w:val="20"/>
          <w:szCs w:val="20"/>
        </w:rPr>
      </w:pPr>
      <w:r w:rsidRPr="00A0016A">
        <w:rPr>
          <w:color w:val="auto"/>
          <w:sz w:val="20"/>
          <w:szCs w:val="20"/>
        </w:rPr>
        <w:t>En foi de quoi, les soussignés, dûment autorisés à cet effet, ont signé le présent Protocole.</w:t>
      </w:r>
    </w:p>
    <w:p w14:paraId="50979168" w14:textId="77777777" w:rsidR="00B26FBF" w:rsidRPr="00A0016A" w:rsidRDefault="00B26FBF" w:rsidP="00A0016A">
      <w:pPr>
        <w:pStyle w:val="Default"/>
        <w:rPr>
          <w:color w:val="auto"/>
          <w:sz w:val="20"/>
          <w:szCs w:val="20"/>
        </w:rPr>
      </w:pPr>
    </w:p>
    <w:p w14:paraId="61B21760" w14:textId="77777777" w:rsidR="00B26FBF" w:rsidRPr="00A0016A" w:rsidRDefault="00B26FBF" w:rsidP="00A0016A">
      <w:pPr>
        <w:pStyle w:val="Default"/>
        <w:rPr>
          <w:color w:val="auto"/>
          <w:sz w:val="20"/>
          <w:szCs w:val="20"/>
        </w:rPr>
      </w:pPr>
      <w:r w:rsidRPr="00A0016A">
        <w:rPr>
          <w:color w:val="auto"/>
          <w:sz w:val="20"/>
          <w:szCs w:val="20"/>
        </w:rPr>
        <w:t>Fait à Strasbourg, le _______________, en français et en anglais, les deux textes faisant également foi, en un seul exemplaire qui sera déposé dans les archives du Conseil de l’Europe. Le Secrétaire Général du Conseil de l’Europe en communiquera copie certifiée conforme à chacun des États membres du Conseil de l’Europe, aux autres Parties à la Convention et à tout État invité à adhérer à cette dernière.</w:t>
      </w:r>
    </w:p>
    <w:sectPr w:rsidR="00B26FBF" w:rsidRPr="00A0016A"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C0BA6" w14:textId="77777777" w:rsidR="00786955" w:rsidRDefault="00786955" w:rsidP="00FD6043">
      <w:r>
        <w:separator/>
      </w:r>
    </w:p>
  </w:endnote>
  <w:endnote w:type="continuationSeparator" w:id="0">
    <w:p w14:paraId="06302469" w14:textId="77777777" w:rsidR="00786955" w:rsidRDefault="00786955"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5787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006B"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89D4" w14:textId="77777777" w:rsidR="00786955" w:rsidRDefault="00786955" w:rsidP="00FD6043">
      <w:r>
        <w:separator/>
      </w:r>
    </w:p>
  </w:footnote>
  <w:footnote w:type="continuationSeparator" w:id="0">
    <w:p w14:paraId="07022A37" w14:textId="77777777" w:rsidR="00786955" w:rsidRDefault="00786955" w:rsidP="00FD6043">
      <w:r>
        <w:continuationSeparator/>
      </w:r>
    </w:p>
  </w:footnote>
  <w:footnote w:id="1">
    <w:p w14:paraId="4B04A307" w14:textId="77777777" w:rsidR="004D1C0F" w:rsidRPr="00605CB8" w:rsidRDefault="00853C90" w:rsidP="004728F8">
      <w:pPr>
        <w:pStyle w:val="FootnoteText"/>
        <w:rPr>
          <w:szCs w:val="16"/>
        </w:rPr>
      </w:pPr>
      <w:r w:rsidRPr="00605CB8">
        <w:rPr>
          <w:rStyle w:val="FootnoteReference"/>
          <w:szCs w:val="16"/>
        </w:rPr>
        <w:footnoteRef/>
      </w:r>
      <w:r w:rsidRPr="00605CB8">
        <w:rPr>
          <w:szCs w:val="16"/>
        </w:rPr>
        <w:t xml:space="preserve"> </w:t>
      </w:r>
      <w:r w:rsidR="004728F8" w:rsidRPr="00605CB8">
        <w:rPr>
          <w:szCs w:val="16"/>
        </w:rPr>
        <w:t>Ce document a été classé en diffusion restreinte jusqu'à la date de son examen par le Comité des Ministres.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67D3" w14:textId="1A24C3C8" w:rsidR="00E24C57" w:rsidRPr="00491E67" w:rsidRDefault="00162E65" w:rsidP="00491E67">
    <w:pPr>
      <w:pStyle w:val="Header"/>
    </w:pPr>
    <w:proofErr w:type="gramStart"/>
    <w:r w:rsidRPr="009E3252">
      <w:t>CM(</w:t>
    </w:r>
    <w:proofErr w:type="gramEnd"/>
    <w:r w:rsidRPr="009E3252">
      <w:t>202</w:t>
    </w:r>
    <w:r>
      <w:t>5</w:t>
    </w:r>
    <w:r w:rsidRPr="009E3252">
      <w:t>)</w:t>
    </w:r>
    <w:r w:rsidR="00F854DE">
      <w:t>30</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B688" w14:textId="2B2A242D"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162E65" w:rsidRPr="009E3252">
      <w:t>CM(</w:t>
    </w:r>
    <w:proofErr w:type="gramEnd"/>
    <w:r w:rsidR="00162E65" w:rsidRPr="009E3252">
      <w:t>202</w:t>
    </w:r>
    <w:r w:rsidR="00162E65">
      <w:t>5</w:t>
    </w:r>
    <w:r w:rsidR="00162E65" w:rsidRPr="009E3252">
      <w:t>)</w:t>
    </w:r>
    <w:r w:rsidR="00A0016A">
      <w:t>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176A" w14:textId="77777777" w:rsidR="00135BDB" w:rsidRDefault="00770642" w:rsidP="00123CDD">
    <w:pPr>
      <w:pStyle w:val="Header"/>
      <w:spacing w:after="2280"/>
    </w:pPr>
    <w:r>
      <w:rPr>
        <w:noProof/>
      </w:rPr>
      <w:drawing>
        <wp:anchor distT="0" distB="0" distL="114300" distR="114300" simplePos="0" relativeHeight="251659264" behindDoc="1" locked="0" layoutInCell="0" allowOverlap="0" wp14:anchorId="060000BE" wp14:editId="49292887">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81288"/>
    <w:multiLevelType w:val="hybridMultilevel"/>
    <w:tmpl w:val="AF1A0A74"/>
    <w:lvl w:ilvl="0" w:tplc="512C56F0">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B06C37"/>
    <w:multiLevelType w:val="hybridMultilevel"/>
    <w:tmpl w:val="9680280E"/>
    <w:lvl w:ilvl="0" w:tplc="512C56F0">
      <w:start w:val="1"/>
      <w:numFmt w:val="lowerLetter"/>
      <w:lvlText w:val="%1."/>
      <w:lvlJc w:val="left"/>
      <w:pPr>
        <w:ind w:left="1209" w:hanging="360"/>
      </w:pPr>
      <w:rPr>
        <w:rFonts w:hint="default"/>
        <w:b w:val="0"/>
        <w:bCs w:val="0"/>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2" w15:restartNumberingAfterBreak="0">
    <w:nsid w:val="40EF431F"/>
    <w:multiLevelType w:val="hybridMultilevel"/>
    <w:tmpl w:val="95404EAE"/>
    <w:lvl w:ilvl="0" w:tplc="512C56F0">
      <w:start w:val="1"/>
      <w:numFmt w:val="lowerLetter"/>
      <w:lvlText w:val="%1."/>
      <w:lvlJc w:val="left"/>
      <w:pPr>
        <w:ind w:left="1209" w:hanging="360"/>
      </w:pPr>
      <w:rPr>
        <w:rFonts w:hint="default"/>
        <w:b w:val="0"/>
        <w:bCs w:val="0"/>
      </w:rPr>
    </w:lvl>
    <w:lvl w:ilvl="1" w:tplc="FFFFFFFF">
      <w:start w:val="1"/>
      <w:numFmt w:val="lowerLetter"/>
      <w:lvlText w:val="%2."/>
      <w:lvlJc w:val="left"/>
      <w:pPr>
        <w:ind w:left="1929" w:hanging="360"/>
      </w:pPr>
    </w:lvl>
    <w:lvl w:ilvl="2" w:tplc="FFFFFFFF">
      <w:start w:val="1"/>
      <w:numFmt w:val="lowerRoman"/>
      <w:lvlText w:val="%3."/>
      <w:lvlJc w:val="right"/>
      <w:pPr>
        <w:ind w:left="2649" w:hanging="180"/>
      </w:pPr>
    </w:lvl>
    <w:lvl w:ilvl="3" w:tplc="FFFFFFFF">
      <w:start w:val="1"/>
      <w:numFmt w:val="decimal"/>
      <w:lvlText w:val="%4."/>
      <w:lvlJc w:val="left"/>
      <w:pPr>
        <w:ind w:left="3369" w:hanging="360"/>
      </w:pPr>
    </w:lvl>
    <w:lvl w:ilvl="4" w:tplc="FFFFFFFF">
      <w:start w:val="1"/>
      <w:numFmt w:val="lowerLetter"/>
      <w:lvlText w:val="%5."/>
      <w:lvlJc w:val="left"/>
      <w:pPr>
        <w:ind w:left="4089" w:hanging="360"/>
      </w:pPr>
    </w:lvl>
    <w:lvl w:ilvl="5" w:tplc="FFFFFFFF">
      <w:start w:val="1"/>
      <w:numFmt w:val="lowerRoman"/>
      <w:lvlText w:val="%6."/>
      <w:lvlJc w:val="right"/>
      <w:pPr>
        <w:ind w:left="4809" w:hanging="180"/>
      </w:pPr>
    </w:lvl>
    <w:lvl w:ilvl="6" w:tplc="FFFFFFFF">
      <w:start w:val="1"/>
      <w:numFmt w:val="decimal"/>
      <w:lvlText w:val="%7."/>
      <w:lvlJc w:val="left"/>
      <w:pPr>
        <w:ind w:left="5529" w:hanging="360"/>
      </w:pPr>
    </w:lvl>
    <w:lvl w:ilvl="7" w:tplc="FFFFFFFF">
      <w:start w:val="1"/>
      <w:numFmt w:val="lowerLetter"/>
      <w:lvlText w:val="%8."/>
      <w:lvlJc w:val="left"/>
      <w:pPr>
        <w:ind w:left="6249" w:hanging="360"/>
      </w:pPr>
    </w:lvl>
    <w:lvl w:ilvl="8" w:tplc="FFFFFFFF">
      <w:start w:val="1"/>
      <w:numFmt w:val="lowerRoman"/>
      <w:lvlText w:val="%9."/>
      <w:lvlJc w:val="right"/>
      <w:pPr>
        <w:ind w:left="6969" w:hanging="180"/>
      </w:pPr>
    </w:lvl>
  </w:abstractNum>
  <w:abstractNum w:abstractNumId="3" w15:restartNumberingAfterBreak="0">
    <w:nsid w:val="60350C6E"/>
    <w:multiLevelType w:val="hybridMultilevel"/>
    <w:tmpl w:val="4F024F24"/>
    <w:lvl w:ilvl="0" w:tplc="A8C64802">
      <w:start w:val="1"/>
      <w:numFmt w:val="decimal"/>
      <w:lvlText w:val="%1."/>
      <w:lvlJc w:val="left"/>
      <w:pPr>
        <w:ind w:left="720" w:hanging="360"/>
      </w:pPr>
      <w:rPr>
        <w:rFonts w:hint="default"/>
        <w:b w:val="0"/>
        <w:color w:val="auto"/>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75160388">
    <w:abstractNumId w:val="3"/>
  </w:num>
  <w:num w:numId="2" w16cid:durableId="1303268520">
    <w:abstractNumId w:val="0"/>
  </w:num>
  <w:num w:numId="3" w16cid:durableId="1186598223">
    <w:abstractNumId w:val="2"/>
  </w:num>
  <w:num w:numId="4" w16cid:durableId="171974047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05"/>
    <w:rsid w:val="00000481"/>
    <w:rsid w:val="00000B21"/>
    <w:rsid w:val="00027B2B"/>
    <w:rsid w:val="00034285"/>
    <w:rsid w:val="000345CC"/>
    <w:rsid w:val="00035FDF"/>
    <w:rsid w:val="00042A16"/>
    <w:rsid w:val="00050AC0"/>
    <w:rsid w:val="00071EA7"/>
    <w:rsid w:val="00072CBD"/>
    <w:rsid w:val="00082CEE"/>
    <w:rsid w:val="00086CA8"/>
    <w:rsid w:val="000A2FF9"/>
    <w:rsid w:val="000A307B"/>
    <w:rsid w:val="000A6DF0"/>
    <w:rsid w:val="000B5C6D"/>
    <w:rsid w:val="000C2A7E"/>
    <w:rsid w:val="000C4F45"/>
    <w:rsid w:val="000C52A6"/>
    <w:rsid w:val="000C5E2A"/>
    <w:rsid w:val="000D022F"/>
    <w:rsid w:val="000E50A4"/>
    <w:rsid w:val="000F4CF2"/>
    <w:rsid w:val="000F58C3"/>
    <w:rsid w:val="000F5ADA"/>
    <w:rsid w:val="000F708C"/>
    <w:rsid w:val="00106141"/>
    <w:rsid w:val="00110729"/>
    <w:rsid w:val="00113EB0"/>
    <w:rsid w:val="001223B0"/>
    <w:rsid w:val="00123CDD"/>
    <w:rsid w:val="00134D9A"/>
    <w:rsid w:val="00135BDB"/>
    <w:rsid w:val="00137BB4"/>
    <w:rsid w:val="0014266D"/>
    <w:rsid w:val="00147EF4"/>
    <w:rsid w:val="00153BB3"/>
    <w:rsid w:val="00153C6E"/>
    <w:rsid w:val="00156DC1"/>
    <w:rsid w:val="00160B03"/>
    <w:rsid w:val="00162E65"/>
    <w:rsid w:val="00171115"/>
    <w:rsid w:val="001747FB"/>
    <w:rsid w:val="001A6076"/>
    <w:rsid w:val="001B7E0B"/>
    <w:rsid w:val="001E7C29"/>
    <w:rsid w:val="001F297D"/>
    <w:rsid w:val="001F4F04"/>
    <w:rsid w:val="0020158E"/>
    <w:rsid w:val="00205560"/>
    <w:rsid w:val="002104C4"/>
    <w:rsid w:val="00214299"/>
    <w:rsid w:val="00222860"/>
    <w:rsid w:val="002250DD"/>
    <w:rsid w:val="0023423A"/>
    <w:rsid w:val="0023437D"/>
    <w:rsid w:val="00242858"/>
    <w:rsid w:val="00242ABB"/>
    <w:rsid w:val="00251353"/>
    <w:rsid w:val="00256D6D"/>
    <w:rsid w:val="00262B36"/>
    <w:rsid w:val="00265917"/>
    <w:rsid w:val="002708EF"/>
    <w:rsid w:val="002735EB"/>
    <w:rsid w:val="00282CF9"/>
    <w:rsid w:val="002861FB"/>
    <w:rsid w:val="00293EE6"/>
    <w:rsid w:val="00295019"/>
    <w:rsid w:val="002B1EAE"/>
    <w:rsid w:val="002B627A"/>
    <w:rsid w:val="002C0872"/>
    <w:rsid w:val="002C20BA"/>
    <w:rsid w:val="002C43B5"/>
    <w:rsid w:val="002C4704"/>
    <w:rsid w:val="002D0655"/>
    <w:rsid w:val="002D11B8"/>
    <w:rsid w:val="002E4089"/>
    <w:rsid w:val="002F3006"/>
    <w:rsid w:val="002F405C"/>
    <w:rsid w:val="002F6BB7"/>
    <w:rsid w:val="00303712"/>
    <w:rsid w:val="00304B38"/>
    <w:rsid w:val="003354C4"/>
    <w:rsid w:val="00335CAF"/>
    <w:rsid w:val="003364D1"/>
    <w:rsid w:val="0037200F"/>
    <w:rsid w:val="00373957"/>
    <w:rsid w:val="00381C50"/>
    <w:rsid w:val="00385587"/>
    <w:rsid w:val="003920FF"/>
    <w:rsid w:val="00392D1D"/>
    <w:rsid w:val="00394807"/>
    <w:rsid w:val="003951C5"/>
    <w:rsid w:val="003967DE"/>
    <w:rsid w:val="003A4C7F"/>
    <w:rsid w:val="003A5509"/>
    <w:rsid w:val="003B2C8C"/>
    <w:rsid w:val="003B345B"/>
    <w:rsid w:val="003C3014"/>
    <w:rsid w:val="003D3B17"/>
    <w:rsid w:val="003D48AE"/>
    <w:rsid w:val="003D6AC2"/>
    <w:rsid w:val="003E3542"/>
    <w:rsid w:val="003F3D4B"/>
    <w:rsid w:val="0040027C"/>
    <w:rsid w:val="00400868"/>
    <w:rsid w:val="00413EF2"/>
    <w:rsid w:val="004256CB"/>
    <w:rsid w:val="004329B7"/>
    <w:rsid w:val="00435D03"/>
    <w:rsid w:val="00440CB1"/>
    <w:rsid w:val="00443709"/>
    <w:rsid w:val="00447D22"/>
    <w:rsid w:val="004553F6"/>
    <w:rsid w:val="004728F8"/>
    <w:rsid w:val="00480D8B"/>
    <w:rsid w:val="00491E67"/>
    <w:rsid w:val="004A2E51"/>
    <w:rsid w:val="004A37E1"/>
    <w:rsid w:val="004B6CA0"/>
    <w:rsid w:val="004C0C2F"/>
    <w:rsid w:val="004C11B3"/>
    <w:rsid w:val="004C2CF6"/>
    <w:rsid w:val="004D1C0F"/>
    <w:rsid w:val="004D2E8A"/>
    <w:rsid w:val="004D3137"/>
    <w:rsid w:val="004E0ACB"/>
    <w:rsid w:val="004E1C72"/>
    <w:rsid w:val="004F1D8B"/>
    <w:rsid w:val="004F7CCB"/>
    <w:rsid w:val="0050115D"/>
    <w:rsid w:val="00522BE7"/>
    <w:rsid w:val="0054041B"/>
    <w:rsid w:val="00544F6A"/>
    <w:rsid w:val="00550B6C"/>
    <w:rsid w:val="005551CF"/>
    <w:rsid w:val="005734AF"/>
    <w:rsid w:val="00574663"/>
    <w:rsid w:val="005A288E"/>
    <w:rsid w:val="005B1FA1"/>
    <w:rsid w:val="005B3604"/>
    <w:rsid w:val="005C1346"/>
    <w:rsid w:val="005C73BB"/>
    <w:rsid w:val="005D7BB3"/>
    <w:rsid w:val="005D7CDF"/>
    <w:rsid w:val="005E3BFC"/>
    <w:rsid w:val="005F093B"/>
    <w:rsid w:val="005F3DC6"/>
    <w:rsid w:val="00605CB8"/>
    <w:rsid w:val="00614982"/>
    <w:rsid w:val="006373F6"/>
    <w:rsid w:val="00643231"/>
    <w:rsid w:val="00643C3F"/>
    <w:rsid w:val="00644AD3"/>
    <w:rsid w:val="006455FA"/>
    <w:rsid w:val="00647B5E"/>
    <w:rsid w:val="0065413D"/>
    <w:rsid w:val="006556B8"/>
    <w:rsid w:val="00657094"/>
    <w:rsid w:val="00671684"/>
    <w:rsid w:val="00671EA2"/>
    <w:rsid w:val="006775BF"/>
    <w:rsid w:val="006908C5"/>
    <w:rsid w:val="006B1C46"/>
    <w:rsid w:val="006C3C3B"/>
    <w:rsid w:val="006D24ED"/>
    <w:rsid w:val="006F0318"/>
    <w:rsid w:val="006F6B48"/>
    <w:rsid w:val="006F7183"/>
    <w:rsid w:val="00712E65"/>
    <w:rsid w:val="007150DE"/>
    <w:rsid w:val="0072436D"/>
    <w:rsid w:val="00727CCF"/>
    <w:rsid w:val="00735569"/>
    <w:rsid w:val="00743AFF"/>
    <w:rsid w:val="00761627"/>
    <w:rsid w:val="00770642"/>
    <w:rsid w:val="00773CFE"/>
    <w:rsid w:val="00786955"/>
    <w:rsid w:val="007A543D"/>
    <w:rsid w:val="007B3DD0"/>
    <w:rsid w:val="007C0AD1"/>
    <w:rsid w:val="007D3A78"/>
    <w:rsid w:val="007D7B20"/>
    <w:rsid w:val="007E168C"/>
    <w:rsid w:val="007F6C46"/>
    <w:rsid w:val="007F74EC"/>
    <w:rsid w:val="00800A19"/>
    <w:rsid w:val="008042E6"/>
    <w:rsid w:val="00805F04"/>
    <w:rsid w:val="008077D0"/>
    <w:rsid w:val="00810D5A"/>
    <w:rsid w:val="00814AA2"/>
    <w:rsid w:val="0082394F"/>
    <w:rsid w:val="008257E2"/>
    <w:rsid w:val="00830486"/>
    <w:rsid w:val="00853C90"/>
    <w:rsid w:val="008575F2"/>
    <w:rsid w:val="0085784F"/>
    <w:rsid w:val="0087380A"/>
    <w:rsid w:val="00882E59"/>
    <w:rsid w:val="00884DC9"/>
    <w:rsid w:val="00894D49"/>
    <w:rsid w:val="008A1CC3"/>
    <w:rsid w:val="008A7553"/>
    <w:rsid w:val="008B07D4"/>
    <w:rsid w:val="008C12CC"/>
    <w:rsid w:val="008D1EF0"/>
    <w:rsid w:val="008D5C09"/>
    <w:rsid w:val="008D642E"/>
    <w:rsid w:val="008E4504"/>
    <w:rsid w:val="00915AB1"/>
    <w:rsid w:val="00916BF5"/>
    <w:rsid w:val="0092012C"/>
    <w:rsid w:val="009215B8"/>
    <w:rsid w:val="00923554"/>
    <w:rsid w:val="009270C4"/>
    <w:rsid w:val="009342FF"/>
    <w:rsid w:val="00940F14"/>
    <w:rsid w:val="00950D67"/>
    <w:rsid w:val="009527D7"/>
    <w:rsid w:val="00955512"/>
    <w:rsid w:val="0095611B"/>
    <w:rsid w:val="00963962"/>
    <w:rsid w:val="00974C41"/>
    <w:rsid w:val="00990722"/>
    <w:rsid w:val="00995CE0"/>
    <w:rsid w:val="009B3AB7"/>
    <w:rsid w:val="009B5CA5"/>
    <w:rsid w:val="009C4E11"/>
    <w:rsid w:val="009C5258"/>
    <w:rsid w:val="009D0BF3"/>
    <w:rsid w:val="009D28F3"/>
    <w:rsid w:val="009D28F7"/>
    <w:rsid w:val="009E4439"/>
    <w:rsid w:val="009F4134"/>
    <w:rsid w:val="00A0016A"/>
    <w:rsid w:val="00A02418"/>
    <w:rsid w:val="00A12DEC"/>
    <w:rsid w:val="00A13FA3"/>
    <w:rsid w:val="00A161B3"/>
    <w:rsid w:val="00A22D53"/>
    <w:rsid w:val="00A474E5"/>
    <w:rsid w:val="00A821E6"/>
    <w:rsid w:val="00A842D4"/>
    <w:rsid w:val="00A93CA3"/>
    <w:rsid w:val="00AB6552"/>
    <w:rsid w:val="00AB67F8"/>
    <w:rsid w:val="00AB7727"/>
    <w:rsid w:val="00AB780D"/>
    <w:rsid w:val="00AC73AA"/>
    <w:rsid w:val="00AD0EFC"/>
    <w:rsid w:val="00AE76B8"/>
    <w:rsid w:val="00AF141D"/>
    <w:rsid w:val="00AF1981"/>
    <w:rsid w:val="00AF7FEF"/>
    <w:rsid w:val="00B06133"/>
    <w:rsid w:val="00B129D8"/>
    <w:rsid w:val="00B176D7"/>
    <w:rsid w:val="00B227AE"/>
    <w:rsid w:val="00B244A9"/>
    <w:rsid w:val="00B26FBF"/>
    <w:rsid w:val="00B41B03"/>
    <w:rsid w:val="00B41EC3"/>
    <w:rsid w:val="00B47F49"/>
    <w:rsid w:val="00B509CE"/>
    <w:rsid w:val="00B54CB2"/>
    <w:rsid w:val="00B63F08"/>
    <w:rsid w:val="00B81BAC"/>
    <w:rsid w:val="00B849E0"/>
    <w:rsid w:val="00B90246"/>
    <w:rsid w:val="00B920E4"/>
    <w:rsid w:val="00B9215D"/>
    <w:rsid w:val="00BA1EDE"/>
    <w:rsid w:val="00BA79A3"/>
    <w:rsid w:val="00BB6B9A"/>
    <w:rsid w:val="00BB7DCE"/>
    <w:rsid w:val="00BC2E2B"/>
    <w:rsid w:val="00BD25C0"/>
    <w:rsid w:val="00BE2237"/>
    <w:rsid w:val="00BF4B0E"/>
    <w:rsid w:val="00C049EE"/>
    <w:rsid w:val="00C109FD"/>
    <w:rsid w:val="00C14C2C"/>
    <w:rsid w:val="00C22890"/>
    <w:rsid w:val="00C409C2"/>
    <w:rsid w:val="00C47DDA"/>
    <w:rsid w:val="00C53638"/>
    <w:rsid w:val="00C74E6F"/>
    <w:rsid w:val="00C760A0"/>
    <w:rsid w:val="00C8348A"/>
    <w:rsid w:val="00C92F89"/>
    <w:rsid w:val="00CB0A62"/>
    <w:rsid w:val="00CC1245"/>
    <w:rsid w:val="00CC39DC"/>
    <w:rsid w:val="00CC49B5"/>
    <w:rsid w:val="00CE184F"/>
    <w:rsid w:val="00CE1FF8"/>
    <w:rsid w:val="00CE4890"/>
    <w:rsid w:val="00CE6FD2"/>
    <w:rsid w:val="00CF6F96"/>
    <w:rsid w:val="00D0182E"/>
    <w:rsid w:val="00D0265B"/>
    <w:rsid w:val="00D06305"/>
    <w:rsid w:val="00D24A57"/>
    <w:rsid w:val="00D32148"/>
    <w:rsid w:val="00D37ED8"/>
    <w:rsid w:val="00D53526"/>
    <w:rsid w:val="00D554E6"/>
    <w:rsid w:val="00D70628"/>
    <w:rsid w:val="00D76131"/>
    <w:rsid w:val="00D7760F"/>
    <w:rsid w:val="00D80F8B"/>
    <w:rsid w:val="00DA1F66"/>
    <w:rsid w:val="00DA7643"/>
    <w:rsid w:val="00DB029C"/>
    <w:rsid w:val="00DC0260"/>
    <w:rsid w:val="00DC11D9"/>
    <w:rsid w:val="00DC162E"/>
    <w:rsid w:val="00DC4A39"/>
    <w:rsid w:val="00DE0A21"/>
    <w:rsid w:val="00DE1065"/>
    <w:rsid w:val="00DF6796"/>
    <w:rsid w:val="00E044EB"/>
    <w:rsid w:val="00E1258A"/>
    <w:rsid w:val="00E125C6"/>
    <w:rsid w:val="00E15639"/>
    <w:rsid w:val="00E1656D"/>
    <w:rsid w:val="00E173B5"/>
    <w:rsid w:val="00E24C57"/>
    <w:rsid w:val="00E33470"/>
    <w:rsid w:val="00E4332F"/>
    <w:rsid w:val="00E452EE"/>
    <w:rsid w:val="00E475F9"/>
    <w:rsid w:val="00E50974"/>
    <w:rsid w:val="00E86611"/>
    <w:rsid w:val="00E940BF"/>
    <w:rsid w:val="00EA001A"/>
    <w:rsid w:val="00EA21DC"/>
    <w:rsid w:val="00EA643A"/>
    <w:rsid w:val="00ED753E"/>
    <w:rsid w:val="00ED769C"/>
    <w:rsid w:val="00EE1745"/>
    <w:rsid w:val="00EE34E3"/>
    <w:rsid w:val="00EF0BE4"/>
    <w:rsid w:val="00F01885"/>
    <w:rsid w:val="00F01F9A"/>
    <w:rsid w:val="00F0531B"/>
    <w:rsid w:val="00F07376"/>
    <w:rsid w:val="00F168A4"/>
    <w:rsid w:val="00F2380B"/>
    <w:rsid w:val="00F24713"/>
    <w:rsid w:val="00F377E4"/>
    <w:rsid w:val="00F40699"/>
    <w:rsid w:val="00F40B8D"/>
    <w:rsid w:val="00F433D6"/>
    <w:rsid w:val="00F60EB2"/>
    <w:rsid w:val="00F61D34"/>
    <w:rsid w:val="00F76BBD"/>
    <w:rsid w:val="00F854DE"/>
    <w:rsid w:val="00F85902"/>
    <w:rsid w:val="00F86A21"/>
    <w:rsid w:val="00F96689"/>
    <w:rsid w:val="00FD6043"/>
    <w:rsid w:val="00FF1A07"/>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C8CA4"/>
  <w15:docId w15:val="{6991B32A-C200-42D9-AE79-70972108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link w:val="Heading1Char"/>
    <w:uiPriority w:val="9"/>
    <w:qFormat/>
    <w:rsid w:val="00605CB8"/>
    <w:pPr>
      <w:spacing w:before="100" w:beforeAutospacing="1" w:after="100" w:afterAutospacing="1"/>
      <w:outlineLvl w:val="0"/>
    </w:pPr>
    <w:rPr>
      <w:rFonts w:ascii="Times New Roman" w:eastAsia="Times New Roman" w:hAnsi="Times New Roman"/>
      <w:b/>
      <w:bCs/>
      <w:kern w:val="36"/>
      <w:sz w:val="48"/>
      <w:szCs w:val="48"/>
      <w:lang w:val="es-ES" w:eastAsia="es-ES"/>
    </w:rPr>
  </w:style>
  <w:style w:type="paragraph" w:styleId="Heading2">
    <w:name w:val="heading 2"/>
    <w:basedOn w:val="Normal"/>
    <w:next w:val="Normal"/>
    <w:link w:val="Heading2Char"/>
    <w:uiPriority w:val="9"/>
    <w:unhideWhenUsed/>
    <w:qFormat/>
    <w:rsid w:val="00605CB8"/>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es-ES"/>
    </w:rPr>
  </w:style>
  <w:style w:type="paragraph" w:styleId="Heading3">
    <w:name w:val="heading 3"/>
    <w:basedOn w:val="Normal"/>
    <w:next w:val="Normal"/>
    <w:link w:val="Heading3Char"/>
    <w:uiPriority w:val="9"/>
    <w:semiHidden/>
    <w:unhideWhenUsed/>
    <w:qFormat/>
    <w:rsid w:val="00605CB8"/>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fn,ft,n"/>
    <w:basedOn w:val="Normal"/>
    <w:link w:val="FootnoteTextChar"/>
    <w:unhideWhenUsed/>
    <w:qFormat/>
    <w:rsid w:val="009C5258"/>
    <w:rPr>
      <w:sz w:val="16"/>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fn Char"/>
    <w:link w:val="FootnoteText"/>
    <w:rsid w:val="009C5258"/>
    <w:rPr>
      <w:rFonts w:ascii="Arial" w:hAnsi="Arial"/>
      <w:sz w:val="16"/>
      <w:lang w:val="fr-FR" w:eastAsia="en-US"/>
    </w:rPr>
  </w:style>
  <w:style w:type="character" w:styleId="FootnoteReference">
    <w:name w:val="footnote reference"/>
    <w:aliases w:val="BVI fnr Char,Footnote symbol Char,Footnote Reference Arial Char,Car Char Car Char Car Char Char Char Char Char Char Char Char,Footnote Refernece Char Char Char,Footnote Refernece Char Char,ftref Char,callout Char Char,callou,Ref"/>
    <w:link w:val="BVIfnr"/>
    <w:unhideWhenUsed/>
    <w:qFormat/>
    <w:rsid w:val="00853C90"/>
    <w:rPr>
      <w:vertAlign w:val="superscript"/>
    </w:rPr>
  </w:style>
  <w:style w:type="paragraph" w:styleId="ListParagraph">
    <w:name w:val="List Paragraph"/>
    <w:aliases w:val="Dot pt,F5 List Paragraph,List Paragraph1,List Paragraph Char Char Char,Indicator Text,Numbered Para 1,Bullet 1,Bullet Points,MAIN CONTENT,Normal numbered,Issue Action POC,3,POCG Table Text,Recommendation,Bullet1,List Paragraph12"/>
    <w:basedOn w:val="Normal"/>
    <w:link w:val="ListParagraphChar"/>
    <w:uiPriority w:val="34"/>
    <w:qFormat/>
    <w:rsid w:val="00830486"/>
    <w:pPr>
      <w:ind w:left="720"/>
      <w:contextualSpacing/>
    </w:pPr>
  </w:style>
  <w:style w:type="paragraph" w:styleId="Revision">
    <w:name w:val="Revision"/>
    <w:hidden/>
    <w:uiPriority w:val="99"/>
    <w:semiHidden/>
    <w:rsid w:val="00153C6E"/>
    <w:rPr>
      <w:rFonts w:ascii="Arial" w:hAnsi="Arial"/>
      <w:szCs w:val="22"/>
      <w:lang w:val="fr-FR" w:eastAsia="en-US"/>
    </w:rPr>
  </w:style>
  <w:style w:type="paragraph" w:customStyle="1" w:styleId="Default">
    <w:name w:val="Default"/>
    <w:rsid w:val="00153C6E"/>
    <w:pPr>
      <w:autoSpaceDE w:val="0"/>
      <w:autoSpaceDN w:val="0"/>
      <w:adjustRightInd w:val="0"/>
    </w:pPr>
    <w:rPr>
      <w:rFonts w:ascii="Arial" w:hAnsi="Arial" w:cs="Arial"/>
      <w:color w:val="000000"/>
      <w:sz w:val="24"/>
      <w:szCs w:val="24"/>
      <w:lang w:val="fr-FR"/>
    </w:rPr>
  </w:style>
  <w:style w:type="character" w:customStyle="1" w:styleId="Heading1Char">
    <w:name w:val="Heading 1 Char"/>
    <w:basedOn w:val="DefaultParagraphFont"/>
    <w:link w:val="Heading1"/>
    <w:uiPriority w:val="9"/>
    <w:rsid w:val="00605CB8"/>
    <w:rPr>
      <w:rFonts w:ascii="Times New Roman" w:eastAsia="Times New Roman" w:hAnsi="Times New Roman"/>
      <w:b/>
      <w:bCs/>
      <w:kern w:val="36"/>
      <w:sz w:val="48"/>
      <w:szCs w:val="48"/>
      <w:lang w:val="es-ES" w:eastAsia="es-ES"/>
    </w:rPr>
  </w:style>
  <w:style w:type="character" w:customStyle="1" w:styleId="Heading2Char">
    <w:name w:val="Heading 2 Char"/>
    <w:basedOn w:val="DefaultParagraphFont"/>
    <w:link w:val="Heading2"/>
    <w:uiPriority w:val="9"/>
    <w:rsid w:val="00605CB8"/>
    <w:rPr>
      <w:rFonts w:asciiTheme="majorHAnsi" w:eastAsiaTheme="majorEastAsia" w:hAnsiTheme="majorHAnsi" w:cstheme="majorBidi"/>
      <w:color w:val="365F91" w:themeColor="accent1" w:themeShade="BF"/>
      <w:sz w:val="26"/>
      <w:szCs w:val="26"/>
      <w:lang w:val="es-ES" w:eastAsia="en-US"/>
    </w:rPr>
  </w:style>
  <w:style w:type="character" w:customStyle="1" w:styleId="Heading3Char">
    <w:name w:val="Heading 3 Char"/>
    <w:basedOn w:val="DefaultParagraphFont"/>
    <w:link w:val="Heading3"/>
    <w:uiPriority w:val="9"/>
    <w:semiHidden/>
    <w:rsid w:val="00605CB8"/>
    <w:rPr>
      <w:rFonts w:asciiTheme="majorHAnsi" w:eastAsiaTheme="majorEastAsia" w:hAnsiTheme="majorHAnsi" w:cstheme="majorBidi"/>
      <w:color w:val="243F60" w:themeColor="accent1" w:themeShade="7F"/>
      <w:sz w:val="24"/>
      <w:szCs w:val="24"/>
      <w:lang w:val="es-ES" w:eastAsia="en-US"/>
    </w:rPr>
  </w:style>
  <w:style w:type="character" w:styleId="Strong">
    <w:name w:val="Strong"/>
    <w:basedOn w:val="DefaultParagraphFont"/>
    <w:uiPriority w:val="22"/>
    <w:qFormat/>
    <w:rsid w:val="00605CB8"/>
    <w:rPr>
      <w:b/>
      <w:bCs/>
    </w:rPr>
  </w:style>
  <w:style w:type="character" w:customStyle="1" w:styleId="oxencycl-headword">
    <w:name w:val="oxencycl-headword"/>
    <w:basedOn w:val="DefaultParagraphFont"/>
    <w:rsid w:val="00605CB8"/>
  </w:style>
  <w:style w:type="character" w:customStyle="1" w:styleId="headwordinfo">
    <w:name w:val="headwordinfo"/>
    <w:basedOn w:val="DefaultParagraphFont"/>
    <w:rsid w:val="00605CB8"/>
  </w:style>
  <w:style w:type="character" w:customStyle="1" w:styleId="pronunciation-secondarycontent">
    <w:name w:val="pronunciation-secondarycontent"/>
    <w:basedOn w:val="DefaultParagraphFont"/>
    <w:rsid w:val="00605CB8"/>
  </w:style>
  <w:style w:type="character" w:customStyle="1" w:styleId="availabilityicon">
    <w:name w:val="availabilityicon"/>
    <w:basedOn w:val="DefaultParagraphFont"/>
    <w:rsid w:val="00605CB8"/>
  </w:style>
  <w:style w:type="paragraph" w:customStyle="1" w:styleId="restrictedabstract">
    <w:name w:val="restrictedabstract"/>
    <w:basedOn w:val="Normal"/>
    <w:rsid w:val="00605CB8"/>
    <w:pPr>
      <w:spacing w:before="100" w:beforeAutospacing="1" w:after="100" w:afterAutospacing="1"/>
    </w:pPr>
    <w:rPr>
      <w:rFonts w:ascii="Times New Roman" w:eastAsia="Times New Roman" w:hAnsi="Times New Roman"/>
      <w:sz w:val="24"/>
      <w:szCs w:val="24"/>
      <w:lang w:val="es-ES" w:eastAsia="es-ES"/>
    </w:rPr>
  </w:style>
  <w:style w:type="character" w:customStyle="1" w:styleId="contributor-unlinked">
    <w:name w:val="contributor-unlinked"/>
    <w:basedOn w:val="DefaultParagraphFont"/>
    <w:rsid w:val="00605CB8"/>
  </w:style>
  <w:style w:type="character" w:customStyle="1" w:styleId="contributor-details-separator">
    <w:name w:val="contributor-details-separator"/>
    <w:basedOn w:val="DefaultParagraphFont"/>
    <w:rsid w:val="00605CB8"/>
  </w:style>
  <w:style w:type="paragraph" w:customStyle="1" w:styleId="Normal1">
    <w:name w:val="Normal1"/>
    <w:basedOn w:val="Normal"/>
    <w:rsid w:val="00605CB8"/>
    <w:pPr>
      <w:spacing w:before="100" w:beforeAutospacing="1" w:after="100" w:afterAutospacing="1"/>
    </w:pPr>
    <w:rPr>
      <w:rFonts w:ascii="Times New Roman" w:eastAsia="Times New Roman" w:hAnsi="Times New Roman"/>
      <w:sz w:val="24"/>
      <w:szCs w:val="24"/>
      <w:lang w:val="es-ES" w:eastAsia="es-ES"/>
    </w:rPr>
  </w:style>
  <w:style w:type="character" w:customStyle="1" w:styleId="ff4">
    <w:name w:val="ff4"/>
    <w:basedOn w:val="DefaultParagraphFont"/>
    <w:rsid w:val="00605CB8"/>
  </w:style>
  <w:style w:type="character" w:customStyle="1" w:styleId="a">
    <w:name w:val="_"/>
    <w:basedOn w:val="DefaultParagraphFont"/>
    <w:rsid w:val="00605CB8"/>
  </w:style>
  <w:style w:type="character" w:customStyle="1" w:styleId="ff5">
    <w:name w:val="ff5"/>
    <w:basedOn w:val="DefaultParagraphFont"/>
    <w:rsid w:val="00605CB8"/>
  </w:style>
  <w:style w:type="character" w:styleId="Emphasis">
    <w:name w:val="Emphasis"/>
    <w:basedOn w:val="DefaultParagraphFont"/>
    <w:uiPriority w:val="20"/>
    <w:qFormat/>
    <w:rsid w:val="00605CB8"/>
    <w:rPr>
      <w:i/>
      <w:iCs/>
    </w:rPr>
  </w:style>
  <w:style w:type="character" w:customStyle="1" w:styleId="UnresolvedMention1">
    <w:name w:val="Unresolved Mention1"/>
    <w:basedOn w:val="DefaultParagraphFont"/>
    <w:uiPriority w:val="99"/>
    <w:semiHidden/>
    <w:unhideWhenUsed/>
    <w:rsid w:val="00605CB8"/>
    <w:rPr>
      <w:color w:val="605E5C"/>
      <w:shd w:val="clear" w:color="auto" w:fill="E1DFDD"/>
    </w:rPr>
  </w:style>
  <w:style w:type="paragraph" w:customStyle="1" w:styleId="Normal2">
    <w:name w:val="Normal2"/>
    <w:basedOn w:val="Normal"/>
    <w:rsid w:val="00605CB8"/>
    <w:pPr>
      <w:spacing w:before="100" w:beforeAutospacing="1" w:after="100" w:afterAutospacing="1"/>
    </w:pPr>
    <w:rPr>
      <w:rFonts w:ascii="Times New Roman" w:eastAsia="Times New Roman" w:hAnsi="Times New Roman"/>
      <w:sz w:val="24"/>
      <w:szCs w:val="24"/>
      <w:lang w:val="es-ES" w:eastAsia="es-ES"/>
    </w:rPr>
  </w:style>
  <w:style w:type="character" w:customStyle="1" w:styleId="super">
    <w:name w:val="super"/>
    <w:basedOn w:val="DefaultParagraphFont"/>
    <w:rsid w:val="00605CB8"/>
  </w:style>
  <w:style w:type="character" w:customStyle="1" w:styleId="msoins0">
    <w:name w:val="msoins"/>
    <w:basedOn w:val="DefaultParagraphFont"/>
    <w:rsid w:val="00605CB8"/>
  </w:style>
  <w:style w:type="paragraph" w:customStyle="1" w:styleId="statut">
    <w:name w:val="statut"/>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typedudocumentcp">
    <w:name w:val="typedudocument_cp"/>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titreobjetcp">
    <w:name w:val="titreobjet_cp"/>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emission">
    <w:name w:val="emission"/>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rfrenceinstitutionnelle">
    <w:name w:val="rfrenceinstitutionnelle"/>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s32b251d">
    <w:name w:val="s32b251d"/>
    <w:basedOn w:val="Normal"/>
    <w:rsid w:val="00605CB8"/>
    <w:pPr>
      <w:spacing w:before="100" w:beforeAutospacing="1" w:after="100" w:afterAutospacing="1"/>
    </w:pPr>
    <w:rPr>
      <w:rFonts w:ascii="Times New Roman" w:eastAsia="Times New Roman" w:hAnsi="Times New Roman"/>
      <w:sz w:val="24"/>
      <w:szCs w:val="24"/>
      <w:lang w:val="es-ES" w:eastAsia="es-ES"/>
    </w:rPr>
  </w:style>
  <w:style w:type="character" w:customStyle="1" w:styleId="s7d2086b4">
    <w:name w:val="s7d2086b4"/>
    <w:basedOn w:val="DefaultParagraphFont"/>
    <w:rsid w:val="00605CB8"/>
  </w:style>
  <w:style w:type="character" w:customStyle="1" w:styleId="sb8d990e2">
    <w:name w:val="sb8d990e2"/>
    <w:basedOn w:val="DefaultParagraphFont"/>
    <w:rsid w:val="00605CB8"/>
  </w:style>
  <w:style w:type="character" w:customStyle="1" w:styleId="s6b621b36">
    <w:name w:val="s6b621b36"/>
    <w:basedOn w:val="DefaultParagraphFont"/>
    <w:rsid w:val="00605CB8"/>
  </w:style>
  <w:style w:type="paragraph" w:styleId="NoSpacing">
    <w:name w:val="No Spacing"/>
    <w:uiPriority w:val="1"/>
    <w:qFormat/>
    <w:rsid w:val="00605CB8"/>
    <w:rPr>
      <w:rFonts w:asciiTheme="minorHAnsi" w:eastAsiaTheme="minorHAnsi" w:hAnsiTheme="minorHAnsi" w:cstheme="minorBidi"/>
      <w:sz w:val="22"/>
      <w:szCs w:val="22"/>
      <w:lang w:val="es-ES" w:eastAsia="en-US"/>
    </w:rPr>
  </w:style>
  <w:style w:type="character" w:customStyle="1" w:styleId="ListParagraphChar">
    <w:name w:val="List Paragraph Char"/>
    <w:aliases w:val="Dot pt Char,F5 List Paragraph Char,List Paragraph1 Char,List Paragraph Char Char Char Char,Indicator Text Char,Numbered Para 1 Char,Bullet 1 Char,Bullet Points Char,MAIN CONTENT Char,Normal numbered Char,Issue Action POC Char,3 Char"/>
    <w:basedOn w:val="DefaultParagraphFont"/>
    <w:link w:val="ListParagraph"/>
    <w:uiPriority w:val="34"/>
    <w:qFormat/>
    <w:locked/>
    <w:rsid w:val="00605CB8"/>
    <w:rPr>
      <w:rFonts w:ascii="Arial" w:hAnsi="Arial"/>
      <w:szCs w:val="22"/>
      <w:lang w:val="fr-FR" w:eastAsia="en-US"/>
    </w:rPr>
  </w:style>
  <w:style w:type="paragraph" w:customStyle="1" w:styleId="BVIfnr">
    <w:name w:val="BVI fnr"/>
    <w:aliases w:val="Footnote symbol,Footnote Reference Arial,Car Char Car Char Car Char Char Char Char Char Char Char,Footnote Refernece Char Char1,Footnote Refernece Char,Car Char Car Char Car Char Char Char Char Char Char Char Char1,ftref,callout"/>
    <w:basedOn w:val="Normal"/>
    <w:link w:val="FootnoteReference"/>
    <w:rsid w:val="00605CB8"/>
    <w:pPr>
      <w:spacing w:after="160" w:line="240" w:lineRule="exact"/>
    </w:pPr>
    <w:rPr>
      <w:rFonts w:ascii="Calibri" w:hAnsi="Calibri"/>
      <w:szCs w:val="20"/>
      <w:vertAlign w:val="superscript"/>
      <w:lang w:val="en-GB" w:eastAsia="en-GB"/>
    </w:rPr>
  </w:style>
  <w:style w:type="character" w:styleId="FollowedHyperlink">
    <w:name w:val="FollowedHyperlink"/>
    <w:basedOn w:val="DefaultParagraphFont"/>
    <w:uiPriority w:val="99"/>
    <w:semiHidden/>
    <w:unhideWhenUsed/>
    <w:rsid w:val="00605CB8"/>
    <w:rPr>
      <w:color w:val="800080" w:themeColor="followedHyperlink"/>
      <w:u w:val="single"/>
    </w:rPr>
  </w:style>
  <w:style w:type="character" w:customStyle="1" w:styleId="FootnoteTextChar2">
    <w:name w:val="Footnote Text Char2"/>
    <w:aliases w:val="Footnote Text Char1 Char2,Footnote Text Char Char Char2,Footnote Text Char1 Char Char Char1,Footnote Text Char Char Char Char Char1,Footnote Text Char Char1 Char1,Footnote Text Char1 Char Char2,Footnote Text Char Char Char Char2"/>
    <w:basedOn w:val="DefaultParagraphFont"/>
    <w:uiPriority w:val="99"/>
    <w:locked/>
    <w:rsid w:val="00605CB8"/>
    <w:rPr>
      <w:sz w:val="20"/>
      <w:szCs w:val="20"/>
    </w:rPr>
  </w:style>
  <w:style w:type="character" w:customStyle="1" w:styleId="s68f5eaef">
    <w:name w:val="s68f5eaef"/>
    <w:basedOn w:val="DefaultParagraphFont"/>
    <w:rsid w:val="00605CB8"/>
  </w:style>
  <w:style w:type="paragraph" w:customStyle="1" w:styleId="s30eec3f8">
    <w:name w:val="s30eec3f8"/>
    <w:basedOn w:val="Normal"/>
    <w:rsid w:val="00605CB8"/>
    <w:pPr>
      <w:spacing w:before="100" w:beforeAutospacing="1" w:after="100" w:afterAutospacing="1"/>
    </w:pPr>
    <w:rPr>
      <w:rFonts w:ascii="Times New Roman" w:eastAsia="Times New Roman" w:hAnsi="Times New Roman"/>
      <w:sz w:val="24"/>
      <w:szCs w:val="24"/>
      <w:lang w:val="pt-PT" w:eastAsia="pt-PT"/>
    </w:rPr>
  </w:style>
  <w:style w:type="character" w:customStyle="1" w:styleId="sfbbfee58">
    <w:name w:val="sfbbfee58"/>
    <w:basedOn w:val="DefaultParagraphFont"/>
    <w:rsid w:val="00605CB8"/>
  </w:style>
  <w:style w:type="paragraph" w:customStyle="1" w:styleId="xmsolistparagraph">
    <w:name w:val="x_msolistparagraph"/>
    <w:basedOn w:val="Normal"/>
    <w:rsid w:val="00605CB8"/>
    <w:pPr>
      <w:spacing w:before="100" w:beforeAutospacing="1" w:after="100" w:afterAutospacing="1"/>
    </w:pPr>
    <w:rPr>
      <w:rFonts w:ascii="Times New Roman" w:eastAsia="Times New Roman" w:hAnsi="Times New Roman"/>
      <w:sz w:val="24"/>
      <w:szCs w:val="24"/>
      <w:lang w:eastAsia="fr-FR"/>
    </w:rPr>
  </w:style>
  <w:style w:type="character" w:styleId="UnresolvedMention">
    <w:name w:val="Unresolved Mention"/>
    <w:basedOn w:val="DefaultParagraphFont"/>
    <w:uiPriority w:val="99"/>
    <w:semiHidden/>
    <w:unhideWhenUsed/>
    <w:rsid w:val="00605CB8"/>
    <w:rPr>
      <w:color w:val="605E5C"/>
      <w:shd w:val="clear" w:color="auto" w:fill="E1DFDD"/>
    </w:rPr>
  </w:style>
  <w:style w:type="paragraph" w:styleId="NormalWeb">
    <w:name w:val="Normal (Web)"/>
    <w:basedOn w:val="Normal"/>
    <w:uiPriority w:val="99"/>
    <w:unhideWhenUsed/>
    <w:rsid w:val="00884DC9"/>
    <w:pPr>
      <w:spacing w:before="100" w:beforeAutospacing="1" w:after="100" w:afterAutospacing="1"/>
    </w:pPr>
    <w:rPr>
      <w:rFonts w:ascii="Times New Roman" w:eastAsia="Times New Roman" w:hAnsi="Times New Roman"/>
      <w:sz w:val="24"/>
      <w:szCs w:val="24"/>
      <w:lang w:val="az-Latn-AZ" w:eastAsia="az-Latn-AZ"/>
    </w:rPr>
  </w:style>
  <w:style w:type="paragraph" w:styleId="z-TopofForm">
    <w:name w:val="HTML Top of Form"/>
    <w:basedOn w:val="Normal"/>
    <w:next w:val="Normal"/>
    <w:link w:val="z-TopofFormChar"/>
    <w:hidden/>
    <w:uiPriority w:val="99"/>
    <w:semiHidden/>
    <w:unhideWhenUsed/>
    <w:rsid w:val="00884DC9"/>
    <w:pPr>
      <w:pBdr>
        <w:bottom w:val="single" w:sz="6" w:space="1" w:color="auto"/>
      </w:pBdr>
      <w:jc w:val="center"/>
    </w:pPr>
    <w:rPr>
      <w:rFonts w:eastAsia="Times New Roman" w:cs="Arial"/>
      <w:vanish/>
      <w:sz w:val="16"/>
      <w:szCs w:val="16"/>
      <w:lang w:val="az-Latn-AZ" w:eastAsia="az-Latn-AZ"/>
    </w:rPr>
  </w:style>
  <w:style w:type="character" w:customStyle="1" w:styleId="z-TopofFormChar">
    <w:name w:val="z-Top of Form Char"/>
    <w:basedOn w:val="DefaultParagraphFont"/>
    <w:link w:val="z-TopofForm"/>
    <w:uiPriority w:val="99"/>
    <w:semiHidden/>
    <w:rsid w:val="00884DC9"/>
    <w:rPr>
      <w:rFonts w:ascii="Arial" w:eastAsia="Times New Roman" w:hAnsi="Arial" w:cs="Arial"/>
      <w:vanish/>
      <w:sz w:val="16"/>
      <w:szCs w:val="16"/>
      <w:lang w:val="az-Latn-AZ" w:eastAsia="az-Latn-AZ"/>
    </w:rPr>
  </w:style>
  <w:style w:type="character" w:customStyle="1" w:styleId="gd">
    <w:name w:val="gd"/>
    <w:basedOn w:val="DefaultParagraphFont"/>
    <w:rsid w:val="00884DC9"/>
  </w:style>
  <w:style w:type="character" w:customStyle="1" w:styleId="g3">
    <w:name w:val="g3"/>
    <w:basedOn w:val="DefaultParagraphFont"/>
    <w:rsid w:val="00884DC9"/>
  </w:style>
  <w:style w:type="character" w:customStyle="1" w:styleId="hb">
    <w:name w:val="hb"/>
    <w:basedOn w:val="DefaultParagraphFont"/>
    <w:rsid w:val="00884DC9"/>
  </w:style>
  <w:style w:type="character" w:customStyle="1" w:styleId="g2">
    <w:name w:val="g2"/>
    <w:basedOn w:val="DefaultParagraphFont"/>
    <w:rsid w:val="00884DC9"/>
  </w:style>
  <w:style w:type="paragraph" w:customStyle="1" w:styleId="m147762875663907169msofootnotetext">
    <w:name w:val="m_147762875663907169msofootnotetext"/>
    <w:basedOn w:val="Normal"/>
    <w:rsid w:val="00884DC9"/>
    <w:pPr>
      <w:spacing w:before="100" w:beforeAutospacing="1" w:after="100" w:afterAutospacing="1"/>
    </w:pPr>
    <w:rPr>
      <w:rFonts w:ascii="Times New Roman" w:eastAsia="Times New Roman" w:hAnsi="Times New Roman"/>
      <w:sz w:val="24"/>
      <w:szCs w:val="24"/>
      <w:lang w:val="az-Latn-AZ" w:eastAsia="az-Latn-AZ"/>
    </w:rPr>
  </w:style>
  <w:style w:type="character" w:styleId="LineNumber">
    <w:name w:val="line number"/>
    <w:basedOn w:val="DefaultParagraphFont"/>
    <w:uiPriority w:val="99"/>
    <w:semiHidden/>
    <w:unhideWhenUsed/>
    <w:rsid w:val="00884DC9"/>
  </w:style>
  <w:style w:type="character" w:customStyle="1" w:styleId="hgkelc">
    <w:name w:val="hgkelc"/>
    <w:basedOn w:val="DefaultParagraphFont"/>
    <w:rsid w:val="00647B5E"/>
  </w:style>
  <w:style w:type="table" w:customStyle="1" w:styleId="TableGrid1">
    <w:name w:val="Table Grid1"/>
    <w:basedOn w:val="TableNormal"/>
    <w:next w:val="TableGrid"/>
    <w:uiPriority w:val="39"/>
    <w:rsid w:val="00647B5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
    <w:name w:val="Corps"/>
    <w:rsid w:val="00C53638"/>
    <w:pPr>
      <w:pBdr>
        <w:top w:val="nil"/>
        <w:left w:val="nil"/>
        <w:bottom w:val="nil"/>
        <w:right w:val="nil"/>
        <w:between w:val="nil"/>
        <w:bar w:val="nil"/>
      </w:pBdr>
      <w:spacing w:after="160" w:line="259" w:lineRule="auto"/>
    </w:pPr>
    <w:rPr>
      <w:rFonts w:cs="Calibri"/>
      <w:color w:val="000000"/>
      <w:kern w:val="2"/>
      <w:sz w:val="22"/>
      <w:szCs w:val="22"/>
      <w:u w:color="000000"/>
      <w:bdr w:val="nil"/>
      <w:lang w:val="fr-FR" w:eastAsia="fr-F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507054">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na\AppData\Local\Temp\Temp1_download%20(65)%20(003).zip\F_CMAbridged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5F98E4D-D688-4716-AB31-BA7E295E0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F_CMAbridgedReport-Template</Template>
  <TotalTime>14</TotalTime>
  <Pages>3</Pages>
  <Words>1228</Words>
  <Characters>6756</Characters>
  <Application>Microsoft Office Word</Application>
  <DocSecurity>0</DocSecurity>
  <Lines>56</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7969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SHEINA Anastasiia</dc:creator>
  <cp:lastModifiedBy>HUDSON Tracey</cp:lastModifiedBy>
  <cp:revision>8</cp:revision>
  <cp:lastPrinted>2025-01-16T08:27:00Z</cp:lastPrinted>
  <dcterms:created xsi:type="dcterms:W3CDTF">2025-02-04T14:36:00Z</dcterms:created>
  <dcterms:modified xsi:type="dcterms:W3CDTF">2025-02-13T14:24:00Z</dcterms:modified>
</cp:coreProperties>
</file>